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75F7" w14:textId="04171E43" w:rsidR="00BB1203" w:rsidRDefault="00807FB6" w:rsidP="00807FB6">
      <w:pPr>
        <w:pStyle w:val="NoSpacing"/>
        <w:jc w:val="center"/>
        <w:rPr>
          <w:b/>
          <w:bCs/>
        </w:rPr>
      </w:pPr>
      <w:r w:rsidRPr="00807FB6">
        <w:rPr>
          <w:b/>
          <w:bCs/>
        </w:rPr>
        <w:t>EMINOX TERMS AND CONDITIONS OF SALE FOR GOODS</w:t>
      </w:r>
      <w:r w:rsidR="00A026EE">
        <w:rPr>
          <w:b/>
          <w:bCs/>
        </w:rPr>
        <w:t xml:space="preserve"> (the “Terms”)</w:t>
      </w:r>
    </w:p>
    <w:p w14:paraId="1E9FD4E7" w14:textId="77777777" w:rsidR="00807FB6" w:rsidRDefault="00807FB6" w:rsidP="00807FB6">
      <w:pPr>
        <w:pStyle w:val="NoSpacing"/>
        <w:jc w:val="center"/>
        <w:rPr>
          <w:b/>
          <w:bCs/>
        </w:rPr>
      </w:pPr>
    </w:p>
    <w:tbl>
      <w:tblPr>
        <w:tblStyle w:val="TableGrid"/>
        <w:tblW w:w="0" w:type="auto"/>
        <w:tblLook w:val="04A0" w:firstRow="1" w:lastRow="0" w:firstColumn="1" w:lastColumn="0" w:noHBand="0" w:noVBand="1"/>
      </w:tblPr>
      <w:tblGrid>
        <w:gridCol w:w="4815"/>
        <w:gridCol w:w="4201"/>
      </w:tblGrid>
      <w:tr w:rsidR="009919DD" w14:paraId="77607A3E" w14:textId="77777777" w:rsidTr="002204C3">
        <w:tc>
          <w:tcPr>
            <w:tcW w:w="9016" w:type="dxa"/>
            <w:gridSpan w:val="2"/>
            <w:shd w:val="clear" w:color="auto" w:fill="FFFFFF" w:themeFill="background1"/>
          </w:tcPr>
          <w:p w14:paraId="23D7C364" w14:textId="50D0FC6F" w:rsidR="009919DD" w:rsidRDefault="0044669D" w:rsidP="009919DD">
            <w:pPr>
              <w:pStyle w:val="NoSpacing"/>
              <w:jc w:val="both"/>
            </w:pPr>
            <w:r>
              <w:rPr>
                <w:b/>
                <w:bCs/>
              </w:rPr>
              <w:t>Eminox/</w:t>
            </w:r>
            <w:r w:rsidR="009919DD" w:rsidRPr="009919DD">
              <w:rPr>
                <w:b/>
                <w:bCs/>
              </w:rPr>
              <w:t>Supplier</w:t>
            </w:r>
            <w:r w:rsidR="009919DD">
              <w:t xml:space="preserve">: </w:t>
            </w:r>
            <w:r w:rsidR="009919DD" w:rsidRPr="00807FB6">
              <w:t>Eminox Limited (CRN: 1349209)</w:t>
            </w:r>
            <w:r w:rsidR="009919DD">
              <w:t xml:space="preserve">, </w:t>
            </w:r>
            <w:r w:rsidR="009919DD" w:rsidRPr="00807FB6">
              <w:t>The Old Court House, 24 Market Street, Gainsborough, DN21 2BE</w:t>
            </w:r>
          </w:p>
          <w:p w14:paraId="6EA40278" w14:textId="77777777" w:rsidR="00A37538" w:rsidRDefault="00A37538" w:rsidP="009919DD">
            <w:pPr>
              <w:pStyle w:val="NoSpacing"/>
              <w:jc w:val="both"/>
            </w:pPr>
          </w:p>
          <w:p w14:paraId="7F47AEDE" w14:textId="6BA969A6" w:rsidR="00A37538" w:rsidRDefault="0088451D" w:rsidP="009919DD">
            <w:pPr>
              <w:pStyle w:val="NoSpacing"/>
              <w:jc w:val="both"/>
            </w:pPr>
            <w:r w:rsidRPr="001D0535">
              <w:rPr>
                <w:b/>
                <w:bCs/>
              </w:rPr>
              <w:t>Manufacturing site</w:t>
            </w:r>
            <w:r w:rsidR="009050C6" w:rsidRPr="001D0535">
              <w:rPr>
                <w:b/>
                <w:bCs/>
              </w:rPr>
              <w:t xml:space="preserve"> address</w:t>
            </w:r>
            <w:r>
              <w:t>: Miller Road</w:t>
            </w:r>
            <w:r w:rsidR="009050C6">
              <w:t xml:space="preserve">, Corringham Road Industrial Estate, </w:t>
            </w:r>
            <w:r w:rsidR="009050C6" w:rsidRPr="009050C6">
              <w:t>Gainsborough, Lincs, DN21 1QB</w:t>
            </w:r>
          </w:p>
          <w:p w14:paraId="00171608" w14:textId="77777777" w:rsidR="004B59E3" w:rsidRDefault="004B59E3" w:rsidP="009919DD">
            <w:pPr>
              <w:pStyle w:val="NoSpacing"/>
              <w:jc w:val="both"/>
            </w:pPr>
          </w:p>
          <w:p w14:paraId="112FF1EB" w14:textId="10B4F266" w:rsidR="004B59E3" w:rsidRPr="009919DD" w:rsidRDefault="004B59E3" w:rsidP="009919DD">
            <w:pPr>
              <w:pStyle w:val="NoSpacing"/>
              <w:jc w:val="both"/>
            </w:pPr>
            <w:r w:rsidRPr="00ED4A8E">
              <w:rPr>
                <w:rFonts w:ascii="Arial" w:hAnsi="Arial" w:cs="Arial"/>
                <w:b/>
                <w:bCs/>
                <w:color w:val="333333"/>
                <w:sz w:val="21"/>
                <w:szCs w:val="21"/>
                <w:shd w:val="clear" w:color="auto" w:fill="FCFCFC"/>
              </w:rPr>
              <w:t>Registered VAT No</w:t>
            </w:r>
            <w:r>
              <w:rPr>
                <w:rFonts w:ascii="Arial" w:hAnsi="Arial" w:cs="Arial"/>
                <w:color w:val="333333"/>
                <w:sz w:val="21"/>
                <w:szCs w:val="21"/>
                <w:shd w:val="clear" w:color="auto" w:fill="FCFCFC"/>
              </w:rPr>
              <w:t>.  310 6184 00</w:t>
            </w:r>
          </w:p>
        </w:tc>
      </w:tr>
      <w:tr w:rsidR="00807FB6" w14:paraId="32B832BF" w14:textId="77777777" w:rsidTr="00B11244">
        <w:tc>
          <w:tcPr>
            <w:tcW w:w="4815" w:type="dxa"/>
            <w:tcBorders>
              <w:bottom w:val="single" w:sz="4" w:space="0" w:color="auto"/>
            </w:tcBorders>
            <w:shd w:val="clear" w:color="auto" w:fill="D9D9D9" w:themeFill="background1" w:themeFillShade="D9"/>
          </w:tcPr>
          <w:p w14:paraId="64403978" w14:textId="6A6BA5AD" w:rsidR="00807FB6" w:rsidRDefault="00807FB6" w:rsidP="00807FB6">
            <w:pPr>
              <w:pStyle w:val="NoSpacing"/>
              <w:jc w:val="both"/>
              <w:rPr>
                <w:b/>
                <w:bCs/>
              </w:rPr>
            </w:pPr>
            <w:r>
              <w:rPr>
                <w:b/>
                <w:bCs/>
              </w:rPr>
              <w:t>Orders</w:t>
            </w:r>
          </w:p>
        </w:tc>
        <w:tc>
          <w:tcPr>
            <w:tcW w:w="4201" w:type="dxa"/>
            <w:tcBorders>
              <w:bottom w:val="single" w:sz="4" w:space="0" w:color="auto"/>
            </w:tcBorders>
            <w:shd w:val="clear" w:color="auto" w:fill="D9D9D9" w:themeFill="background1" w:themeFillShade="D9"/>
          </w:tcPr>
          <w:p w14:paraId="0EE999A6" w14:textId="428F2E52" w:rsidR="00807FB6" w:rsidRDefault="00807FB6" w:rsidP="00807FB6">
            <w:pPr>
              <w:pStyle w:val="NoSpacing"/>
              <w:jc w:val="both"/>
              <w:rPr>
                <w:b/>
                <w:bCs/>
              </w:rPr>
            </w:pPr>
            <w:r>
              <w:rPr>
                <w:b/>
                <w:bCs/>
              </w:rPr>
              <w:t>Payment Details</w:t>
            </w:r>
          </w:p>
        </w:tc>
      </w:tr>
      <w:tr w:rsidR="00B11244" w14:paraId="671FF279" w14:textId="77777777" w:rsidTr="00B11244">
        <w:tc>
          <w:tcPr>
            <w:tcW w:w="4815" w:type="dxa"/>
            <w:tcBorders>
              <w:top w:val="single" w:sz="4" w:space="0" w:color="auto"/>
              <w:left w:val="single" w:sz="4" w:space="0" w:color="auto"/>
              <w:bottom w:val="single" w:sz="4" w:space="0" w:color="auto"/>
              <w:right w:val="single" w:sz="4" w:space="0" w:color="auto"/>
            </w:tcBorders>
          </w:tcPr>
          <w:p w14:paraId="0DD57126" w14:textId="7149684A" w:rsidR="00B11244" w:rsidRDefault="00B11244" w:rsidP="00B11244">
            <w:pPr>
              <w:pStyle w:val="NoSpacing"/>
              <w:jc w:val="both"/>
            </w:pPr>
            <w:r>
              <w:t>How to Order</w:t>
            </w:r>
          </w:p>
          <w:p w14:paraId="6C599F3B" w14:textId="77777777" w:rsidR="00B11244" w:rsidRDefault="00B11244" w:rsidP="00B11244">
            <w:pPr>
              <w:pStyle w:val="NoSpacing"/>
              <w:jc w:val="both"/>
            </w:pPr>
          </w:p>
          <w:p w14:paraId="5F7FA120" w14:textId="44F70424" w:rsidR="00B11244" w:rsidRPr="00807FB6" w:rsidRDefault="00B11244" w:rsidP="00B11244">
            <w:pPr>
              <w:pStyle w:val="NoSpacing"/>
            </w:pPr>
            <w:r>
              <w:rPr>
                <w:rStyle w:val="Strong"/>
                <w:rFonts w:ascii="Arial" w:hAnsi="Arial" w:cs="Arial"/>
                <w:color w:val="333333"/>
                <w:sz w:val="21"/>
                <w:szCs w:val="21"/>
              </w:rPr>
              <w:t>By Telephone:</w:t>
            </w:r>
            <w:r>
              <w:rPr>
                <w:rFonts w:ascii="Arial" w:hAnsi="Arial" w:cs="Arial"/>
                <w:color w:val="333333"/>
                <w:sz w:val="21"/>
                <w:szCs w:val="21"/>
                <w:shd w:val="clear" w:color="auto" w:fill="FCFCFC"/>
              </w:rPr>
              <w:t> Gainsborough +44 (0) 1427 810088</w:t>
            </w:r>
            <w:r>
              <w:rPr>
                <w:rFonts w:ascii="Arial" w:hAnsi="Arial" w:cs="Arial"/>
                <w:color w:val="333333"/>
                <w:sz w:val="21"/>
                <w:szCs w:val="21"/>
              </w:rPr>
              <w:br/>
            </w:r>
            <w:r>
              <w:rPr>
                <w:rFonts w:ascii="Arial" w:hAnsi="Arial" w:cs="Arial"/>
                <w:b/>
                <w:bCs/>
                <w:color w:val="333333"/>
                <w:sz w:val="21"/>
                <w:szCs w:val="21"/>
                <w:shd w:val="clear" w:color="auto" w:fill="FCFCFC"/>
              </w:rPr>
              <w:t xml:space="preserve">Email: </w:t>
            </w:r>
            <w:hyperlink r:id="rId8" w:history="1">
              <w:r w:rsidRPr="000D095F">
                <w:rPr>
                  <w:rStyle w:val="Hyperlink"/>
                  <w:rFonts w:ascii="Arial" w:hAnsi="Arial" w:cs="Arial"/>
                  <w:sz w:val="21"/>
                  <w:szCs w:val="21"/>
                  <w:shd w:val="clear" w:color="auto" w:fill="FCFCFC"/>
                </w:rPr>
                <w:t>sales@eminox.com</w:t>
              </w:r>
            </w:hyperlink>
          </w:p>
        </w:tc>
        <w:tc>
          <w:tcPr>
            <w:tcW w:w="4201" w:type="dxa"/>
            <w:tcBorders>
              <w:top w:val="single" w:sz="4" w:space="0" w:color="auto"/>
              <w:left w:val="single" w:sz="4" w:space="0" w:color="auto"/>
              <w:bottom w:val="nil"/>
              <w:right w:val="single" w:sz="4" w:space="0" w:color="auto"/>
            </w:tcBorders>
          </w:tcPr>
          <w:p w14:paraId="2C3FA3CF" w14:textId="77777777" w:rsidR="00B11244" w:rsidRDefault="00B11244" w:rsidP="00B11244">
            <w:pPr>
              <w:pStyle w:val="NoSpacing"/>
              <w:jc w:val="both"/>
              <w:rPr>
                <w:b/>
                <w:bCs/>
              </w:rPr>
            </w:pPr>
            <w:r>
              <w:rPr>
                <w:b/>
                <w:bCs/>
              </w:rPr>
              <w:t>Bank Transfer:</w:t>
            </w:r>
          </w:p>
          <w:p w14:paraId="207BFC6A" w14:textId="77777777" w:rsidR="00B11244" w:rsidRDefault="00B11244" w:rsidP="00B11244">
            <w:pPr>
              <w:pStyle w:val="NoSpacing"/>
              <w:jc w:val="both"/>
              <w:rPr>
                <w:b/>
                <w:bCs/>
              </w:rPr>
            </w:pPr>
          </w:p>
          <w:p w14:paraId="4F8F3B89" w14:textId="77777777" w:rsidR="00B11244" w:rsidRPr="00807FB6" w:rsidRDefault="00B11244" w:rsidP="00B11244">
            <w:pPr>
              <w:pStyle w:val="NoSpacing"/>
              <w:jc w:val="both"/>
            </w:pPr>
            <w:r w:rsidRPr="00807FB6">
              <w:t>Eminox Limited, Lloyds Bank Ltd, 202 High Street, Lincoln</w:t>
            </w:r>
            <w:r>
              <w:t xml:space="preserve"> </w:t>
            </w:r>
            <w:r w:rsidRPr="00026A75">
              <w:t>LN5 7AP</w:t>
            </w:r>
          </w:p>
          <w:p w14:paraId="44EBC61E" w14:textId="77777777" w:rsidR="00B11244" w:rsidRPr="00807FB6" w:rsidRDefault="00B11244" w:rsidP="00B11244">
            <w:pPr>
              <w:pStyle w:val="NoSpacing"/>
              <w:jc w:val="both"/>
            </w:pPr>
          </w:p>
          <w:p w14:paraId="3E553D5D" w14:textId="241C5474" w:rsidR="00B11244" w:rsidRDefault="00B11244" w:rsidP="00B11244">
            <w:pPr>
              <w:pStyle w:val="NoSpacing"/>
              <w:jc w:val="both"/>
              <w:rPr>
                <w:b/>
                <w:bCs/>
              </w:rPr>
            </w:pPr>
            <w:r w:rsidRPr="00ED4A8E">
              <w:rPr>
                <w:b/>
                <w:bCs/>
              </w:rPr>
              <w:t>Sort Code</w:t>
            </w:r>
            <w:r w:rsidRPr="00807FB6">
              <w:t xml:space="preserve"> 30-95-</w:t>
            </w:r>
            <w:proofErr w:type="gramStart"/>
            <w:r w:rsidRPr="00807FB6">
              <w:t xml:space="preserve">05  </w:t>
            </w:r>
            <w:r w:rsidRPr="00ED4A8E">
              <w:rPr>
                <w:b/>
                <w:bCs/>
              </w:rPr>
              <w:t>Account</w:t>
            </w:r>
            <w:proofErr w:type="gramEnd"/>
            <w:r w:rsidRPr="00ED4A8E">
              <w:rPr>
                <w:b/>
                <w:bCs/>
              </w:rPr>
              <w:t xml:space="preserve"> No</w:t>
            </w:r>
            <w:r w:rsidRPr="00807FB6">
              <w:t xml:space="preserve"> 0285951</w:t>
            </w:r>
          </w:p>
        </w:tc>
      </w:tr>
      <w:tr w:rsidR="00B11244" w14:paraId="42A15852" w14:textId="77777777" w:rsidTr="00B11244">
        <w:tc>
          <w:tcPr>
            <w:tcW w:w="4815" w:type="dxa"/>
            <w:tcBorders>
              <w:top w:val="single" w:sz="4" w:space="0" w:color="auto"/>
              <w:left w:val="single" w:sz="4" w:space="0" w:color="auto"/>
              <w:bottom w:val="single" w:sz="4" w:space="0" w:color="auto"/>
              <w:right w:val="single" w:sz="4" w:space="0" w:color="auto"/>
            </w:tcBorders>
          </w:tcPr>
          <w:p w14:paraId="4FA5F60E" w14:textId="4FF9F163" w:rsidR="00B11244" w:rsidRDefault="00B11244" w:rsidP="00B11244">
            <w:pPr>
              <w:pStyle w:val="NoSpacing"/>
              <w:jc w:val="both"/>
              <w:rPr>
                <w:b/>
                <w:bCs/>
              </w:rPr>
            </w:pPr>
            <w:r>
              <w:rPr>
                <w:b/>
                <w:bCs/>
              </w:rPr>
              <w:t xml:space="preserve">PLEASE NOTE: Purchase Orders must be provided to Eminox before Orders are fulfilled unless otherwise agreed by Eminox. </w:t>
            </w:r>
          </w:p>
        </w:tc>
        <w:tc>
          <w:tcPr>
            <w:tcW w:w="4201" w:type="dxa"/>
            <w:tcBorders>
              <w:top w:val="nil"/>
              <w:left w:val="single" w:sz="4" w:space="0" w:color="auto"/>
              <w:bottom w:val="nil"/>
              <w:right w:val="single" w:sz="4" w:space="0" w:color="auto"/>
            </w:tcBorders>
          </w:tcPr>
          <w:p w14:paraId="2CDD58B8" w14:textId="76E56A4B" w:rsidR="00B11244" w:rsidRDefault="00B11244" w:rsidP="00B11244">
            <w:pPr>
              <w:pStyle w:val="NoSpacing"/>
              <w:jc w:val="both"/>
              <w:rPr>
                <w:b/>
                <w:bCs/>
              </w:rPr>
            </w:pPr>
          </w:p>
        </w:tc>
      </w:tr>
      <w:tr w:rsidR="00B11244" w14:paraId="4A0A3990" w14:textId="77777777" w:rsidTr="00B11244">
        <w:trPr>
          <w:trHeight w:val="922"/>
        </w:trPr>
        <w:tc>
          <w:tcPr>
            <w:tcW w:w="4815" w:type="dxa"/>
            <w:tcBorders>
              <w:top w:val="single" w:sz="4" w:space="0" w:color="auto"/>
              <w:left w:val="single" w:sz="4" w:space="0" w:color="auto"/>
              <w:bottom w:val="single" w:sz="4" w:space="0" w:color="auto"/>
              <w:right w:val="single" w:sz="4" w:space="0" w:color="auto"/>
            </w:tcBorders>
          </w:tcPr>
          <w:p w14:paraId="42C61496" w14:textId="5ACCE6C4" w:rsidR="00B11244" w:rsidRDefault="00B11244" w:rsidP="00B11244">
            <w:pPr>
              <w:pStyle w:val="NoSpacing"/>
              <w:jc w:val="both"/>
              <w:rPr>
                <w:b/>
                <w:bCs/>
              </w:rPr>
            </w:pPr>
            <w:r w:rsidRPr="00A43C00">
              <w:t xml:space="preserve">Once </w:t>
            </w:r>
            <w:r>
              <w:t>an O</w:t>
            </w:r>
            <w:r w:rsidRPr="00A43C00">
              <w:t>rder</w:t>
            </w:r>
            <w:r>
              <w:t xml:space="preserve"> has been</w:t>
            </w:r>
            <w:r w:rsidRPr="00A43C00">
              <w:t xml:space="preserve"> placed and accepted</w:t>
            </w:r>
            <w:r>
              <w:t xml:space="preserve"> given by Eminox</w:t>
            </w:r>
            <w:r w:rsidRPr="00A43C00">
              <w:t>, any enquiries should be sent to:</w:t>
            </w:r>
            <w:r>
              <w:t xml:space="preserve"> </w:t>
            </w:r>
            <w:hyperlink r:id="rId9" w:history="1">
              <w:r w:rsidRPr="000D095F">
                <w:rPr>
                  <w:rStyle w:val="Hyperlink"/>
                </w:rPr>
                <w:t>enquiries@eminox.com</w:t>
              </w:r>
            </w:hyperlink>
          </w:p>
        </w:tc>
        <w:tc>
          <w:tcPr>
            <w:tcW w:w="4201" w:type="dxa"/>
            <w:tcBorders>
              <w:top w:val="nil"/>
              <w:left w:val="single" w:sz="4" w:space="0" w:color="auto"/>
              <w:bottom w:val="single" w:sz="4" w:space="0" w:color="auto"/>
              <w:right w:val="single" w:sz="4" w:space="0" w:color="auto"/>
            </w:tcBorders>
          </w:tcPr>
          <w:p w14:paraId="44108D51" w14:textId="10C3DBD6" w:rsidR="00B11244" w:rsidRPr="00807FB6" w:rsidRDefault="00B11244" w:rsidP="00B11244">
            <w:pPr>
              <w:pStyle w:val="NoSpacing"/>
              <w:jc w:val="both"/>
            </w:pPr>
          </w:p>
        </w:tc>
      </w:tr>
    </w:tbl>
    <w:p w14:paraId="395689BA" w14:textId="77777777" w:rsidR="00807FB6" w:rsidRDefault="00807FB6" w:rsidP="00807FB6">
      <w:pPr>
        <w:pStyle w:val="NoSpacing"/>
        <w:jc w:val="both"/>
        <w:rPr>
          <w:b/>
          <w:bCs/>
        </w:rPr>
      </w:pPr>
    </w:p>
    <w:p w14:paraId="7229B5D8" w14:textId="25B7079C" w:rsidR="004C555E" w:rsidRDefault="004C555E" w:rsidP="00807FB6">
      <w:pPr>
        <w:pStyle w:val="NoSpacing"/>
        <w:jc w:val="both"/>
        <w:rPr>
          <w:b/>
          <w:bCs/>
        </w:rPr>
      </w:pPr>
      <w:r>
        <w:rPr>
          <w:b/>
          <w:bCs/>
        </w:rPr>
        <w:t>Definitions</w:t>
      </w:r>
    </w:p>
    <w:p w14:paraId="6A782C6C" w14:textId="77777777" w:rsidR="003F1D7E" w:rsidRDefault="003F1D7E" w:rsidP="00807FB6">
      <w:pPr>
        <w:pStyle w:val="NoSpacing"/>
        <w:jc w:val="both"/>
        <w:rPr>
          <w:b/>
          <w:bCs/>
        </w:rPr>
      </w:pPr>
    </w:p>
    <w:p w14:paraId="4B7D7E84" w14:textId="492EED1A" w:rsidR="004C555E" w:rsidRPr="00DE27A4" w:rsidRDefault="00DE27A4" w:rsidP="00807FB6">
      <w:pPr>
        <w:pStyle w:val="NoSpacing"/>
        <w:jc w:val="both"/>
        <w:rPr>
          <w:b/>
          <w:bCs/>
        </w:rPr>
      </w:pPr>
      <w:r>
        <w:rPr>
          <w:b/>
          <w:bCs/>
        </w:rPr>
        <w:t>“</w:t>
      </w:r>
      <w:r w:rsidR="00233A3F">
        <w:rPr>
          <w:b/>
          <w:bCs/>
        </w:rPr>
        <w:t>Customer</w:t>
      </w:r>
      <w:r>
        <w:rPr>
          <w:b/>
          <w:bCs/>
        </w:rPr>
        <w:t>”</w:t>
      </w:r>
      <w:r w:rsidRPr="00DE27A4">
        <w:t xml:space="preserve"> means the party </w:t>
      </w:r>
      <w:r w:rsidR="0099601E">
        <w:t>placing an Order</w:t>
      </w:r>
      <w:r w:rsidRPr="00DE27A4">
        <w:t xml:space="preserve"> for the purpose of receiving the </w:t>
      </w:r>
      <w:r w:rsidR="0099601E">
        <w:t>Goods</w:t>
      </w:r>
      <w:r w:rsidRPr="00DE27A4">
        <w:t xml:space="preserve"> provided by </w:t>
      </w:r>
      <w:r w:rsidR="0099601E">
        <w:t>Eminox</w:t>
      </w:r>
      <w:r w:rsidRPr="00DE27A4">
        <w:t>, as</w:t>
      </w:r>
      <w:r w:rsidR="0099601E">
        <w:t xml:space="preserve"> more particularly</w:t>
      </w:r>
      <w:r w:rsidRPr="00DE27A4">
        <w:t xml:space="preserve"> identified in the Order. The Customer shall include its permitted assigns and successors</w:t>
      </w:r>
      <w:r w:rsidR="0099601E">
        <w:t>.</w:t>
      </w:r>
    </w:p>
    <w:p w14:paraId="6BB9B0B1" w14:textId="77777777" w:rsidR="003F1D7E" w:rsidRDefault="003F1D7E" w:rsidP="00807FB6">
      <w:pPr>
        <w:pStyle w:val="NoSpacing"/>
        <w:jc w:val="both"/>
        <w:rPr>
          <w:b/>
          <w:bCs/>
        </w:rPr>
      </w:pPr>
    </w:p>
    <w:p w14:paraId="3A4EB5DE" w14:textId="0093FD2B" w:rsidR="004C555E" w:rsidRDefault="00F44627" w:rsidP="00807FB6">
      <w:pPr>
        <w:pStyle w:val="NoSpacing"/>
        <w:jc w:val="both"/>
        <w:rPr>
          <w:b/>
          <w:bCs/>
        </w:rPr>
      </w:pPr>
      <w:r>
        <w:rPr>
          <w:b/>
          <w:bCs/>
        </w:rPr>
        <w:t>“</w:t>
      </w:r>
      <w:r w:rsidR="004C555E">
        <w:rPr>
          <w:b/>
          <w:bCs/>
        </w:rPr>
        <w:t>Goods</w:t>
      </w:r>
      <w:r>
        <w:rPr>
          <w:b/>
          <w:bCs/>
        </w:rPr>
        <w:t>”</w:t>
      </w:r>
      <w:r w:rsidRPr="00F44627">
        <w:t xml:space="preserve"> means the tangible items, parts, products, materials, or equipment to be supplied by the Eminox to the Customer under these terms, as specified in the relevant Order.</w:t>
      </w:r>
    </w:p>
    <w:p w14:paraId="4FD93EAE" w14:textId="77777777" w:rsidR="003F1D7E" w:rsidRDefault="003F1D7E" w:rsidP="00807FB6">
      <w:pPr>
        <w:pStyle w:val="NoSpacing"/>
        <w:jc w:val="both"/>
        <w:rPr>
          <w:b/>
          <w:bCs/>
        </w:rPr>
      </w:pPr>
    </w:p>
    <w:p w14:paraId="4DA396E7" w14:textId="063A7521" w:rsidR="00C509E2" w:rsidRDefault="0099601E" w:rsidP="00807FB6">
      <w:pPr>
        <w:pStyle w:val="NoSpacing"/>
        <w:jc w:val="both"/>
        <w:rPr>
          <w:b/>
          <w:bCs/>
        </w:rPr>
      </w:pPr>
      <w:r>
        <w:rPr>
          <w:b/>
          <w:bCs/>
        </w:rPr>
        <w:t>“</w:t>
      </w:r>
      <w:r w:rsidR="00C509E2">
        <w:rPr>
          <w:b/>
          <w:bCs/>
        </w:rPr>
        <w:t>Order</w:t>
      </w:r>
      <w:r>
        <w:rPr>
          <w:b/>
          <w:bCs/>
        </w:rPr>
        <w:t>”</w:t>
      </w:r>
      <w:r w:rsidR="00A026EE" w:rsidRPr="00A026EE">
        <w:t xml:space="preserve"> </w:t>
      </w:r>
      <w:r w:rsidR="00A026EE" w:rsidRPr="007D6EE8">
        <w:t xml:space="preserve">means a written or electronic request submitted by the Customer to Eminox for the supply of Goods under these Terms, which sets out the quantity, description, price, and delivery details, and is accepted by </w:t>
      </w:r>
      <w:r w:rsidR="00A843CE" w:rsidRPr="007D6EE8">
        <w:t>Eminox</w:t>
      </w:r>
      <w:r w:rsidR="00A026EE" w:rsidRPr="007D6EE8">
        <w:t xml:space="preserve"> in accordance with </w:t>
      </w:r>
      <w:r w:rsidR="00A843CE" w:rsidRPr="007D6EE8">
        <w:t>these</w:t>
      </w:r>
      <w:r w:rsidR="00A026EE" w:rsidRPr="007D6EE8">
        <w:t xml:space="preserve"> Terms</w:t>
      </w:r>
      <w:r w:rsidR="007D6EE8">
        <w:t>.</w:t>
      </w:r>
      <w:r w:rsidR="00A026EE" w:rsidRPr="00A026EE">
        <w:rPr>
          <w:b/>
          <w:bCs/>
        </w:rPr>
        <w:t xml:space="preserve"> </w:t>
      </w:r>
    </w:p>
    <w:p w14:paraId="3DFFF81E" w14:textId="77777777" w:rsidR="004C555E" w:rsidRDefault="004C555E" w:rsidP="00807FB6">
      <w:pPr>
        <w:pStyle w:val="NoSpacing"/>
        <w:jc w:val="both"/>
        <w:rPr>
          <w:b/>
          <w:bCs/>
        </w:rPr>
      </w:pPr>
    </w:p>
    <w:p w14:paraId="5890FA43" w14:textId="45320D77" w:rsidR="006B6537" w:rsidRDefault="006B6537" w:rsidP="00807FB6">
      <w:pPr>
        <w:pStyle w:val="NoSpacing"/>
        <w:jc w:val="both"/>
        <w:rPr>
          <w:b/>
          <w:bCs/>
        </w:rPr>
      </w:pPr>
      <w:r>
        <w:rPr>
          <w:b/>
          <w:bCs/>
        </w:rPr>
        <w:t>Core Terms</w:t>
      </w:r>
    </w:p>
    <w:p w14:paraId="02B9E987" w14:textId="77777777" w:rsidR="006B6537" w:rsidRDefault="006B6537" w:rsidP="00807FB6">
      <w:pPr>
        <w:pStyle w:val="NoSpacing"/>
        <w:jc w:val="both"/>
        <w:rPr>
          <w:b/>
          <w:bCs/>
        </w:rPr>
      </w:pPr>
    </w:p>
    <w:p w14:paraId="16879A10" w14:textId="437EC8DB" w:rsidR="006B6537" w:rsidRPr="00031F35" w:rsidRDefault="00114C81" w:rsidP="00114C81">
      <w:pPr>
        <w:pStyle w:val="NoSpacing"/>
        <w:numPr>
          <w:ilvl w:val="0"/>
          <w:numId w:val="1"/>
        </w:numPr>
        <w:jc w:val="both"/>
        <w:rPr>
          <w:b/>
          <w:bCs/>
        </w:rPr>
      </w:pPr>
      <w:r w:rsidRPr="00031F35">
        <w:rPr>
          <w:b/>
          <w:bCs/>
        </w:rPr>
        <w:t>Price</w:t>
      </w:r>
    </w:p>
    <w:p w14:paraId="317AAC72" w14:textId="6C934562" w:rsidR="00114C81" w:rsidRDefault="004C555E" w:rsidP="00114C81">
      <w:pPr>
        <w:pStyle w:val="NoSpacing"/>
        <w:numPr>
          <w:ilvl w:val="1"/>
          <w:numId w:val="1"/>
        </w:numPr>
        <w:jc w:val="both"/>
      </w:pPr>
      <w:r>
        <w:t>Price of Goods are ex-work</w:t>
      </w:r>
      <w:r w:rsidR="00C509E2">
        <w:t>s nett trade exclusive of VAT.</w:t>
      </w:r>
    </w:p>
    <w:p w14:paraId="1CF06DF5" w14:textId="6EF0071D" w:rsidR="00C509E2" w:rsidRDefault="00C509E2" w:rsidP="00114C81">
      <w:pPr>
        <w:pStyle w:val="NoSpacing"/>
        <w:numPr>
          <w:ilvl w:val="1"/>
          <w:numId w:val="1"/>
        </w:numPr>
        <w:jc w:val="both"/>
      </w:pPr>
      <w:r>
        <w:t xml:space="preserve">Our current minimum order </w:t>
      </w:r>
      <w:r w:rsidR="001F0882">
        <w:t>value</w:t>
      </w:r>
      <w:r w:rsidR="00186125">
        <w:t xml:space="preserve"> is £</w:t>
      </w:r>
      <w:r w:rsidR="00B11244">
        <w:t>150</w:t>
      </w:r>
      <w:r w:rsidR="00186125">
        <w:t xml:space="preserve">, </w:t>
      </w:r>
      <w:r w:rsidR="00031F35">
        <w:t>excluding VAT or other taxes</w:t>
      </w:r>
      <w:r w:rsidR="00380F8C">
        <w:t>, unless otherwise agreed with Eminox</w:t>
      </w:r>
      <w:r w:rsidR="00031F35">
        <w:t>.</w:t>
      </w:r>
    </w:p>
    <w:p w14:paraId="0ED5EE31" w14:textId="4C7E00E9" w:rsidR="00C136D6" w:rsidRDefault="004803BF" w:rsidP="00114C81">
      <w:pPr>
        <w:pStyle w:val="NoSpacing"/>
        <w:numPr>
          <w:ilvl w:val="1"/>
          <w:numId w:val="1"/>
        </w:numPr>
        <w:jc w:val="both"/>
      </w:pPr>
      <w:r>
        <w:t>A fixed</w:t>
      </w:r>
      <w:r w:rsidR="004A06E5">
        <w:t>, non-refundable</w:t>
      </w:r>
      <w:r>
        <w:t xml:space="preserve"> £100 surcharge</w:t>
      </w:r>
      <w:r w:rsidR="00EB7D8A">
        <w:t>, excluding VAT or other taxes</w:t>
      </w:r>
      <w:r>
        <w:t xml:space="preserve"> </w:t>
      </w:r>
      <w:r w:rsidR="00247C97">
        <w:t xml:space="preserve">will be applied </w:t>
      </w:r>
      <w:r w:rsidR="003A2BC1">
        <w:t xml:space="preserve">to all </w:t>
      </w:r>
      <w:r>
        <w:t>VOR orders</w:t>
      </w:r>
      <w:r w:rsidR="00EB7D8A">
        <w:t xml:space="preserve"> regardless of </w:t>
      </w:r>
      <w:r w:rsidR="00C85DB5">
        <w:t xml:space="preserve">original </w:t>
      </w:r>
      <w:r w:rsidR="00EB7D8A">
        <w:t>order value</w:t>
      </w:r>
      <w:r w:rsidR="00F21716">
        <w:t>.</w:t>
      </w:r>
    </w:p>
    <w:p w14:paraId="60B494A5" w14:textId="54C1F012" w:rsidR="0091752A" w:rsidRDefault="0091752A" w:rsidP="00114C81">
      <w:pPr>
        <w:pStyle w:val="NoSpacing"/>
        <w:numPr>
          <w:ilvl w:val="1"/>
          <w:numId w:val="1"/>
        </w:numPr>
        <w:jc w:val="both"/>
      </w:pPr>
      <w:r>
        <w:t xml:space="preserve">Prices as quoted in the Order shall </w:t>
      </w:r>
      <w:r w:rsidR="000825A2">
        <w:t>be fixed, subject to any changes made by the Customer whereby a further quote with the price revision shall be provided by Eminox.</w:t>
      </w:r>
    </w:p>
    <w:p w14:paraId="7ADF6634" w14:textId="77777777" w:rsidR="000825A2" w:rsidRDefault="000825A2" w:rsidP="000825A2">
      <w:pPr>
        <w:pStyle w:val="NoSpacing"/>
        <w:jc w:val="both"/>
      </w:pPr>
    </w:p>
    <w:p w14:paraId="11652BF2" w14:textId="13C20627" w:rsidR="00114C81" w:rsidRPr="000825A2" w:rsidRDefault="00233A3F" w:rsidP="00114C81">
      <w:pPr>
        <w:pStyle w:val="NoSpacing"/>
        <w:numPr>
          <w:ilvl w:val="0"/>
          <w:numId w:val="1"/>
        </w:numPr>
        <w:jc w:val="both"/>
        <w:rPr>
          <w:b/>
          <w:bCs/>
        </w:rPr>
      </w:pPr>
      <w:r>
        <w:rPr>
          <w:b/>
          <w:bCs/>
        </w:rPr>
        <w:t>Accounts/</w:t>
      </w:r>
      <w:r w:rsidR="000825A2" w:rsidRPr="000825A2">
        <w:rPr>
          <w:b/>
          <w:bCs/>
        </w:rPr>
        <w:t>Terms of Payment</w:t>
      </w:r>
    </w:p>
    <w:p w14:paraId="4B61DC72" w14:textId="1DCECFB9" w:rsidR="00233A3F" w:rsidRDefault="00233A3F" w:rsidP="00233A3F">
      <w:pPr>
        <w:pStyle w:val="NoSpacing"/>
        <w:numPr>
          <w:ilvl w:val="1"/>
          <w:numId w:val="1"/>
        </w:numPr>
        <w:jc w:val="both"/>
      </w:pPr>
      <w:r>
        <w:t>For non-standard Goods the price is payable in cash on</w:t>
      </w:r>
      <w:r w:rsidR="00BC7396">
        <w:t xml:space="preserve"> placement of an</w:t>
      </w:r>
      <w:r>
        <w:t xml:space="preserve"> Order. </w:t>
      </w:r>
    </w:p>
    <w:p w14:paraId="1B410D36" w14:textId="12EEB8B6" w:rsidR="00233A3F" w:rsidRPr="00114C81" w:rsidRDefault="00233A3F" w:rsidP="00233A3F">
      <w:pPr>
        <w:pStyle w:val="NoSpacing"/>
        <w:numPr>
          <w:ilvl w:val="1"/>
          <w:numId w:val="1"/>
        </w:numPr>
        <w:jc w:val="both"/>
      </w:pPr>
      <w:r>
        <w:lastRenderedPageBreak/>
        <w:t xml:space="preserve">For standard Goods unless otherwise agreed payment is cash on collection or delivery (as applicable). </w:t>
      </w:r>
    </w:p>
    <w:p w14:paraId="70DDB75B" w14:textId="047B1DA0" w:rsidR="00233A3F" w:rsidRDefault="00233A3F" w:rsidP="000825A2">
      <w:pPr>
        <w:pStyle w:val="NoSpacing"/>
        <w:numPr>
          <w:ilvl w:val="1"/>
          <w:numId w:val="1"/>
        </w:numPr>
        <w:jc w:val="both"/>
      </w:pPr>
      <w:r>
        <w:t xml:space="preserve">Customer Accounts are at the discretion of Eminox and subject to satisfactory references and will require an application form to be completed prior to </w:t>
      </w:r>
      <w:r w:rsidR="007D6EE8">
        <w:t>a</w:t>
      </w:r>
      <w:r>
        <w:t>ccount opening</w:t>
      </w:r>
      <w:r w:rsidR="007D6EE8">
        <w:t>.</w:t>
      </w:r>
    </w:p>
    <w:p w14:paraId="373DE90F" w14:textId="5DFD6F9C" w:rsidR="00666125" w:rsidRDefault="005A0D58" w:rsidP="000825A2">
      <w:pPr>
        <w:pStyle w:val="NoSpacing"/>
        <w:numPr>
          <w:ilvl w:val="1"/>
          <w:numId w:val="1"/>
        </w:numPr>
        <w:jc w:val="both"/>
      </w:pPr>
      <w:r>
        <w:t xml:space="preserve">Strictly </w:t>
      </w:r>
      <w:r w:rsidR="00666125">
        <w:t xml:space="preserve">net </w:t>
      </w:r>
      <w:r w:rsidR="00BC4036">
        <w:t>30</w:t>
      </w:r>
      <w:r w:rsidR="00666125">
        <w:t xml:space="preserve"> days payment for account Customers.</w:t>
      </w:r>
    </w:p>
    <w:p w14:paraId="48C859D7" w14:textId="0704AE68" w:rsidR="00BC4036" w:rsidRDefault="00BE7D99" w:rsidP="000825A2">
      <w:pPr>
        <w:pStyle w:val="NoSpacing"/>
        <w:numPr>
          <w:ilvl w:val="1"/>
          <w:numId w:val="1"/>
        </w:numPr>
        <w:jc w:val="both"/>
      </w:pPr>
      <w:r w:rsidRPr="00BE7D99">
        <w:t xml:space="preserve">If any payment due under this Agreement is not received by the due date, the Supplier shall be entitled to charge interest on the overdue amount at a rate of </w:t>
      </w:r>
      <w:r w:rsidR="008A7888">
        <w:t>4</w:t>
      </w:r>
      <w:r w:rsidRPr="00BE7D99">
        <w:t>% per annum above the Bank of England base rate, accruing daily until payment is made in full.</w:t>
      </w:r>
    </w:p>
    <w:p w14:paraId="7BF37F1E" w14:textId="77777777" w:rsidR="00233A3F" w:rsidRDefault="00233A3F" w:rsidP="00233A3F">
      <w:pPr>
        <w:pStyle w:val="NoSpacing"/>
        <w:ind w:left="1440"/>
        <w:jc w:val="both"/>
      </w:pPr>
    </w:p>
    <w:p w14:paraId="04D0138D" w14:textId="7318FBBD" w:rsidR="00233A3F" w:rsidRDefault="00233A3F" w:rsidP="00233A3F">
      <w:pPr>
        <w:pStyle w:val="NoSpacing"/>
        <w:numPr>
          <w:ilvl w:val="0"/>
          <w:numId w:val="1"/>
        </w:numPr>
        <w:jc w:val="both"/>
        <w:rPr>
          <w:b/>
          <w:bCs/>
        </w:rPr>
      </w:pPr>
      <w:r w:rsidRPr="00233A3F">
        <w:rPr>
          <w:b/>
          <w:bCs/>
        </w:rPr>
        <w:t>Retention of Title</w:t>
      </w:r>
    </w:p>
    <w:p w14:paraId="7B0E66DD" w14:textId="222C8DFF" w:rsidR="00596F9D" w:rsidRPr="00596F9D" w:rsidRDefault="00596F9D" w:rsidP="00233A3F">
      <w:pPr>
        <w:pStyle w:val="NoSpacing"/>
        <w:numPr>
          <w:ilvl w:val="1"/>
          <w:numId w:val="1"/>
        </w:numPr>
        <w:jc w:val="both"/>
      </w:pPr>
      <w:r w:rsidRPr="00596F9D">
        <w:t xml:space="preserve">Title to the </w:t>
      </w:r>
      <w:r w:rsidR="000F1FD3">
        <w:t>G</w:t>
      </w:r>
      <w:r w:rsidRPr="00596F9D">
        <w:t>oods shall remain vested in Eminox and shall not pass to the Customer until the Customer has made payment in full of all sums due to the Company</w:t>
      </w:r>
      <w:r w:rsidR="00660780">
        <w:t>,</w:t>
      </w:r>
      <w:r w:rsidRPr="00596F9D">
        <w:t xml:space="preserve"> under this or any other agreement between Eminox and the Customer. </w:t>
      </w:r>
    </w:p>
    <w:p w14:paraId="1A646BDA" w14:textId="6A5ABDAA" w:rsidR="00843AF4" w:rsidRPr="00843AF4" w:rsidRDefault="00596F9D" w:rsidP="00233A3F">
      <w:pPr>
        <w:pStyle w:val="NoSpacing"/>
        <w:numPr>
          <w:ilvl w:val="1"/>
          <w:numId w:val="1"/>
        </w:numPr>
        <w:jc w:val="both"/>
      </w:pPr>
      <w:r w:rsidRPr="00843AF4">
        <w:t xml:space="preserve">So long as the property in the </w:t>
      </w:r>
      <w:r w:rsidR="000F1FD3">
        <w:t>G</w:t>
      </w:r>
      <w:r w:rsidRPr="00843AF4">
        <w:t xml:space="preserve">oods remains vested in </w:t>
      </w:r>
      <w:r w:rsidR="00843AF4" w:rsidRPr="00843AF4">
        <w:t>Eminox</w:t>
      </w:r>
      <w:r w:rsidRPr="00843AF4">
        <w:t xml:space="preserve">, </w:t>
      </w:r>
      <w:r w:rsidR="00843AF4" w:rsidRPr="00843AF4">
        <w:t>Eminox</w:t>
      </w:r>
      <w:r w:rsidRPr="00843AF4">
        <w:t xml:space="preserve"> shall be at liberty at any time to retake possession thereof and for that purpose to enter upon any premises of the Customer</w:t>
      </w:r>
      <w:r w:rsidR="00B26423">
        <w:t xml:space="preserve"> to do so</w:t>
      </w:r>
      <w:r w:rsidRPr="00843AF4">
        <w:t>.</w:t>
      </w:r>
    </w:p>
    <w:p w14:paraId="45B37AC7" w14:textId="2D42F069" w:rsidR="00233A3F" w:rsidRDefault="00596F9D" w:rsidP="00233A3F">
      <w:pPr>
        <w:pStyle w:val="NoSpacing"/>
        <w:numPr>
          <w:ilvl w:val="1"/>
          <w:numId w:val="1"/>
        </w:numPr>
        <w:jc w:val="both"/>
        <w:rPr>
          <w:b/>
          <w:bCs/>
        </w:rPr>
      </w:pPr>
      <w:r w:rsidRPr="00843AF4">
        <w:t>The Customer shall not resell</w:t>
      </w:r>
      <w:r w:rsidR="00DC3541">
        <w:t>, modify or alter in any way</w:t>
      </w:r>
      <w:r w:rsidRPr="00843AF4">
        <w:t xml:space="preserve"> or otherwise dispose of the </w:t>
      </w:r>
      <w:r w:rsidR="003B7C95">
        <w:t>G</w:t>
      </w:r>
      <w:r w:rsidRPr="00843AF4">
        <w:t>oods prior to</w:t>
      </w:r>
      <w:r w:rsidR="003B7C95">
        <w:t xml:space="preserve"> making payment in full and</w:t>
      </w:r>
      <w:r w:rsidRPr="00843AF4">
        <w:t xml:space="preserve"> the passing of </w:t>
      </w:r>
      <w:r w:rsidR="000F1FD3">
        <w:t>title to the Goods</w:t>
      </w:r>
      <w:r w:rsidR="000C0214">
        <w:t>. I</w:t>
      </w:r>
      <w:r w:rsidRPr="00843AF4">
        <w:t>f the Customer shall sell</w:t>
      </w:r>
      <w:r w:rsidR="00DC3541">
        <w:t>,</w:t>
      </w:r>
      <w:r w:rsidR="00DC3541" w:rsidRPr="00DC3541">
        <w:t xml:space="preserve"> </w:t>
      </w:r>
      <w:r w:rsidR="00DC3541">
        <w:t>modify or alter</w:t>
      </w:r>
      <w:r w:rsidRPr="00843AF4">
        <w:t xml:space="preserve"> or otherwise dispose of the </w:t>
      </w:r>
      <w:r w:rsidR="00DC3541">
        <w:t>G</w:t>
      </w:r>
      <w:r w:rsidRPr="00843AF4">
        <w:t xml:space="preserve">oods in breach of this </w:t>
      </w:r>
      <w:r w:rsidR="000C0214">
        <w:t>c</w:t>
      </w:r>
      <w:r w:rsidRPr="00843AF4">
        <w:t xml:space="preserve">ondition, the proceeds of any such sale or disposal shall be held on trust for </w:t>
      </w:r>
      <w:r w:rsidR="000C0214">
        <w:t>Eminox</w:t>
      </w:r>
      <w:r w:rsidRPr="00596F9D">
        <w:rPr>
          <w:b/>
          <w:bCs/>
        </w:rPr>
        <w:t>.</w:t>
      </w:r>
    </w:p>
    <w:p w14:paraId="72DFE015" w14:textId="6651B783" w:rsidR="00D45FE5" w:rsidRDefault="00D45FE5" w:rsidP="00233A3F">
      <w:pPr>
        <w:pStyle w:val="NoSpacing"/>
        <w:numPr>
          <w:ilvl w:val="1"/>
          <w:numId w:val="1"/>
        </w:numPr>
        <w:jc w:val="both"/>
      </w:pPr>
      <w:r w:rsidRPr="00D45FE5">
        <w:t xml:space="preserve">Notwithstanding the foregoing, the </w:t>
      </w:r>
      <w:r>
        <w:t>G</w:t>
      </w:r>
      <w:r w:rsidRPr="00D45FE5">
        <w:t>oods shall be at the entire risk of the Customer from the time of delivery</w:t>
      </w:r>
      <w:r>
        <w:t>.</w:t>
      </w:r>
    </w:p>
    <w:p w14:paraId="6DAEEEE0" w14:textId="77777777" w:rsidR="00FB3B9C" w:rsidRPr="00D45FE5" w:rsidRDefault="00FB3B9C" w:rsidP="00FB3B9C">
      <w:pPr>
        <w:pStyle w:val="NoSpacing"/>
        <w:ind w:left="1440"/>
        <w:jc w:val="both"/>
      </w:pPr>
    </w:p>
    <w:p w14:paraId="1C81DE25" w14:textId="4379995B" w:rsidR="000C0214" w:rsidRDefault="00AF7C67" w:rsidP="000C0214">
      <w:pPr>
        <w:pStyle w:val="NoSpacing"/>
        <w:numPr>
          <w:ilvl w:val="0"/>
          <w:numId w:val="1"/>
        </w:numPr>
        <w:jc w:val="both"/>
        <w:rPr>
          <w:b/>
          <w:bCs/>
        </w:rPr>
      </w:pPr>
      <w:r>
        <w:rPr>
          <w:b/>
          <w:bCs/>
        </w:rPr>
        <w:t>Limited Warranties</w:t>
      </w:r>
      <w:r w:rsidR="00C002F9">
        <w:rPr>
          <w:b/>
          <w:bCs/>
        </w:rPr>
        <w:t xml:space="preserve"> and Liability</w:t>
      </w:r>
    </w:p>
    <w:p w14:paraId="64042F4B" w14:textId="7E50426F" w:rsidR="008738F8" w:rsidRDefault="003E6777" w:rsidP="00247E89">
      <w:pPr>
        <w:pStyle w:val="NoSpacing"/>
        <w:numPr>
          <w:ilvl w:val="1"/>
          <w:numId w:val="1"/>
        </w:numPr>
        <w:jc w:val="both"/>
        <w:rPr>
          <w:b/>
          <w:bCs/>
        </w:rPr>
      </w:pPr>
      <w:r w:rsidRPr="003E6777">
        <w:rPr>
          <w:b/>
          <w:bCs/>
        </w:rPr>
        <w:t xml:space="preserve">EXCEPT AS EXPRESSLY STATED IN </w:t>
      </w:r>
      <w:r>
        <w:rPr>
          <w:b/>
          <w:bCs/>
        </w:rPr>
        <w:t>THESE</w:t>
      </w:r>
      <w:r w:rsidRPr="003E6777">
        <w:rPr>
          <w:b/>
          <w:bCs/>
        </w:rPr>
        <w:t xml:space="preserve"> </w:t>
      </w:r>
      <w:r>
        <w:rPr>
          <w:b/>
          <w:bCs/>
        </w:rPr>
        <w:t>TERMS</w:t>
      </w:r>
      <w:r w:rsidRPr="003E6777">
        <w:rPr>
          <w:b/>
          <w:bCs/>
        </w:rPr>
        <w:t xml:space="preserve">, </w:t>
      </w:r>
      <w:r>
        <w:rPr>
          <w:b/>
          <w:bCs/>
        </w:rPr>
        <w:t>EMINOX</w:t>
      </w:r>
      <w:r w:rsidRPr="003E6777">
        <w:rPr>
          <w:b/>
          <w:bCs/>
        </w:rPr>
        <w:t xml:space="preserve"> MAKES NO WARRANTIES, REPRESENTATIONS, OR GUARANTEES, WHETHER EXPRESS OR IMPLIED, REGARDING THE GOODS SUPPLIED. THIS INCLUDES, BUT IS NOT LIMITED TO, ANY IMPLIED WARRANTIES OF MERCHANTABILITY, FITNESS FOR A PARTICULAR PURPOSE, OR NON-INFRINGEMENT.</w:t>
      </w:r>
      <w:r>
        <w:rPr>
          <w:b/>
          <w:bCs/>
        </w:rPr>
        <w:t xml:space="preserve"> </w:t>
      </w:r>
      <w:r w:rsidRPr="003E6777">
        <w:rPr>
          <w:b/>
          <w:bCs/>
        </w:rPr>
        <w:t xml:space="preserve">THE GOODS ARE PROVIDED “AS IS,” AND THE BUYER ASSUMES ALL RISKS RELATED TO THEIR USE, INSTALLATION, AND PERFORMANCE. </w:t>
      </w:r>
      <w:r w:rsidR="00A843CE">
        <w:rPr>
          <w:b/>
          <w:bCs/>
        </w:rPr>
        <w:t>EMINOX</w:t>
      </w:r>
      <w:r w:rsidRPr="003E6777">
        <w:rPr>
          <w:b/>
          <w:bCs/>
        </w:rPr>
        <w:t xml:space="preserve"> DOES NOT WARRANT THAT THE GOODS WILL BE SUITABLE FOR THE BUYER’S INTENDED USE OR FREE FROM DEFECTS NOT EXPRESSLY COVERED BY ANY AGREED WARRANTY.</w:t>
      </w:r>
    </w:p>
    <w:p w14:paraId="113ACC86" w14:textId="77777777" w:rsidR="00563D62" w:rsidRDefault="00C97FEF" w:rsidP="00563D62">
      <w:pPr>
        <w:pStyle w:val="NoSpacing"/>
        <w:numPr>
          <w:ilvl w:val="1"/>
          <w:numId w:val="1"/>
        </w:numPr>
        <w:jc w:val="both"/>
      </w:pPr>
      <w:r w:rsidRPr="00C97FEF">
        <w:t xml:space="preserve">If within a period of </w:t>
      </w:r>
      <w:r w:rsidR="00A02DE8">
        <w:t>12 months</w:t>
      </w:r>
      <w:r w:rsidRPr="00C97FEF">
        <w:t xml:space="preserve"> from the date of purchase any </w:t>
      </w:r>
      <w:r w:rsidR="00A02DE8">
        <w:t>Goods</w:t>
      </w:r>
      <w:r w:rsidRPr="00C97FEF">
        <w:t xml:space="preserve"> </w:t>
      </w:r>
      <w:r w:rsidR="00A02DE8">
        <w:t>prove</w:t>
      </w:r>
      <w:r w:rsidRPr="00C97FEF">
        <w:t xml:space="preserve"> to be defective and such a defect is shown to our satisfaction to have been due to faulty design, materials or workmanship at the time of manufacture, </w:t>
      </w:r>
      <w:r w:rsidR="00645018">
        <w:t>Eminox</w:t>
      </w:r>
      <w:r w:rsidRPr="00C97FEF">
        <w:t xml:space="preserve"> will at </w:t>
      </w:r>
      <w:r w:rsidR="00645018">
        <w:t>its election</w:t>
      </w:r>
      <w:r w:rsidRPr="00C97FEF">
        <w:t xml:space="preserve"> repair or replace such </w:t>
      </w:r>
      <w:r w:rsidR="00645018">
        <w:t>Goods</w:t>
      </w:r>
      <w:r w:rsidRPr="00C97FEF">
        <w:t xml:space="preserve"> or refund </w:t>
      </w:r>
      <w:r w:rsidR="009B050D">
        <w:t>for Goods if repair or replacement is not possible</w:t>
      </w:r>
      <w:r w:rsidRPr="00C97FEF">
        <w:t>.  Damage or defects due to misuse, accident, incorrect fitting or worn engine/vehicle mountings are specifically excluded from the terms of this guarantee.  We will be responsible for carriage charges within the United Kingdom only.</w:t>
      </w:r>
      <w:r w:rsidR="00092323" w:rsidRPr="00092323">
        <w:t xml:space="preserve"> </w:t>
      </w:r>
      <w:r w:rsidR="00092323">
        <w:t>Eminox</w:t>
      </w:r>
      <w:r w:rsidR="00092323" w:rsidRPr="00092323">
        <w:t xml:space="preserve"> shall not be liable for any costs of fitting or removal of any </w:t>
      </w:r>
      <w:r w:rsidR="00092323">
        <w:t>Goods</w:t>
      </w:r>
      <w:r w:rsidR="00092323" w:rsidRPr="00092323">
        <w:t xml:space="preserve"> nor for any loss of use, loss of profit or other consequential loss or damage</w:t>
      </w:r>
      <w:r w:rsidR="00092323">
        <w:t>.</w:t>
      </w:r>
    </w:p>
    <w:p w14:paraId="408F8E27" w14:textId="05A6D02C" w:rsidR="00792A23" w:rsidRDefault="00563D62" w:rsidP="00563D62">
      <w:pPr>
        <w:pStyle w:val="NoSpacing"/>
        <w:numPr>
          <w:ilvl w:val="1"/>
          <w:numId w:val="1"/>
        </w:numPr>
        <w:jc w:val="both"/>
      </w:pPr>
      <w:r>
        <w:t>The remedies expressly set out in clause 4 b are the sole and exclusive remedies available to the</w:t>
      </w:r>
      <w:r w:rsidR="00240E6F">
        <w:t xml:space="preserve"> Customer</w:t>
      </w:r>
      <w:r>
        <w:t xml:space="preserve"> for any breach, defect, or failure relating to the </w:t>
      </w:r>
      <w:r w:rsidR="00240E6F">
        <w:t>G</w:t>
      </w:r>
      <w:r>
        <w:t xml:space="preserve">oods supplied under </w:t>
      </w:r>
      <w:r w:rsidR="00240E6F">
        <w:t xml:space="preserve">these </w:t>
      </w:r>
      <w:r w:rsidR="00A026EE">
        <w:t>T</w:t>
      </w:r>
      <w:r w:rsidR="00240E6F">
        <w:t>erms</w:t>
      </w:r>
      <w:r>
        <w:t>. No other remedies, whether under statute, common law, or otherwise, shall apply.</w:t>
      </w:r>
    </w:p>
    <w:p w14:paraId="53908BB7" w14:textId="77777777" w:rsidR="00240E6F" w:rsidRPr="007D2DB0" w:rsidRDefault="00240E6F" w:rsidP="00240E6F">
      <w:pPr>
        <w:pStyle w:val="NoSpacing"/>
        <w:ind w:left="1440"/>
        <w:jc w:val="both"/>
      </w:pPr>
    </w:p>
    <w:p w14:paraId="34BB2CCA" w14:textId="01515857" w:rsidR="00AF7C67" w:rsidRDefault="00572E4D" w:rsidP="000C0214">
      <w:pPr>
        <w:pStyle w:val="NoSpacing"/>
        <w:numPr>
          <w:ilvl w:val="0"/>
          <w:numId w:val="1"/>
        </w:numPr>
        <w:jc w:val="both"/>
        <w:rPr>
          <w:b/>
          <w:bCs/>
        </w:rPr>
      </w:pPr>
      <w:r>
        <w:rPr>
          <w:b/>
          <w:bCs/>
        </w:rPr>
        <w:lastRenderedPageBreak/>
        <w:t>Drawings</w:t>
      </w:r>
      <w:r w:rsidR="00CA2E97">
        <w:rPr>
          <w:b/>
          <w:bCs/>
        </w:rPr>
        <w:t>, M</w:t>
      </w:r>
      <w:r>
        <w:rPr>
          <w:b/>
          <w:bCs/>
        </w:rPr>
        <w:t>arkings</w:t>
      </w:r>
      <w:r w:rsidR="00CA2E97">
        <w:rPr>
          <w:b/>
          <w:bCs/>
        </w:rPr>
        <w:t xml:space="preserve"> and Goods Specifications</w:t>
      </w:r>
    </w:p>
    <w:p w14:paraId="15A05AB4" w14:textId="12408EC4" w:rsidR="00660BCB" w:rsidRPr="00CA2E97" w:rsidRDefault="008A4387" w:rsidP="00CA2E97">
      <w:pPr>
        <w:pStyle w:val="NoSpacing"/>
        <w:numPr>
          <w:ilvl w:val="1"/>
          <w:numId w:val="1"/>
        </w:numPr>
        <w:jc w:val="both"/>
      </w:pPr>
      <w:r>
        <w:t>Eminox</w:t>
      </w:r>
      <w:r w:rsidR="00322A30" w:rsidRPr="00322A30">
        <w:t xml:space="preserve"> do not accept responsibility for the accuracy of drawings, patterns or specifications supplied by the </w:t>
      </w:r>
      <w:r>
        <w:t>Customer and it is for the Customer to determine the suitability of the Goods</w:t>
      </w:r>
      <w:r w:rsidR="00700B3B">
        <w:t xml:space="preserve"> provided</w:t>
      </w:r>
      <w:r w:rsidR="00AA45EC">
        <w:t xml:space="preserve"> for the intended purpose</w:t>
      </w:r>
      <w:r w:rsidR="00322A30" w:rsidRPr="00322A30">
        <w:t>.</w:t>
      </w:r>
    </w:p>
    <w:p w14:paraId="70643557" w14:textId="19903AD1" w:rsidR="00660BCB" w:rsidRDefault="003D22E8" w:rsidP="00660BCB">
      <w:pPr>
        <w:pStyle w:val="NoSpacing"/>
        <w:numPr>
          <w:ilvl w:val="1"/>
          <w:numId w:val="1"/>
        </w:numPr>
        <w:jc w:val="both"/>
      </w:pPr>
      <w:r w:rsidRPr="003D22E8">
        <w:t>Any descriptions, sizes, dimensions, capacities, weights, etc. are given in good faith for guidance only and are not guaranteed as absolutely correct</w:t>
      </w:r>
      <w:r>
        <w:t xml:space="preserve"> for the Goods</w:t>
      </w:r>
      <w:r w:rsidRPr="003D22E8">
        <w:t>.  Further we reserve the right to alter any specification, withdraw or substitute items in our product range without prior notice</w:t>
      </w:r>
      <w:r>
        <w:t xml:space="preserve">. </w:t>
      </w:r>
    </w:p>
    <w:p w14:paraId="7AD7B3A1" w14:textId="77777777" w:rsidR="00CA2E97" w:rsidRDefault="00CA2E97" w:rsidP="00CA2E97">
      <w:pPr>
        <w:pStyle w:val="NoSpacing"/>
        <w:jc w:val="both"/>
      </w:pPr>
    </w:p>
    <w:p w14:paraId="3B453345" w14:textId="3954E9D4" w:rsidR="00CA2E97" w:rsidRPr="00FC580C" w:rsidRDefault="00FC580C" w:rsidP="00CA2E97">
      <w:pPr>
        <w:pStyle w:val="NoSpacing"/>
        <w:numPr>
          <w:ilvl w:val="0"/>
          <w:numId w:val="1"/>
        </w:numPr>
        <w:jc w:val="both"/>
        <w:rPr>
          <w:b/>
          <w:bCs/>
        </w:rPr>
      </w:pPr>
      <w:r w:rsidRPr="00FC580C">
        <w:rPr>
          <w:b/>
          <w:bCs/>
        </w:rPr>
        <w:t>Delivery/Despatch</w:t>
      </w:r>
    </w:p>
    <w:p w14:paraId="06BBFC2E" w14:textId="45A23A89" w:rsidR="00B97ADC" w:rsidRDefault="001B0AED" w:rsidP="00FC580C">
      <w:pPr>
        <w:pStyle w:val="NoSpacing"/>
        <w:numPr>
          <w:ilvl w:val="1"/>
          <w:numId w:val="1"/>
        </w:numPr>
        <w:jc w:val="both"/>
      </w:pPr>
      <w:r w:rsidRPr="001B0AED">
        <w:t xml:space="preserve">Any delivery dates quoted </w:t>
      </w:r>
      <w:r w:rsidR="003C7C4A">
        <w:t xml:space="preserve">for the Goods </w:t>
      </w:r>
      <w:r w:rsidRPr="001B0AED">
        <w:t xml:space="preserve">are estimates only and whilst </w:t>
      </w:r>
      <w:r w:rsidR="00B97ADC">
        <w:t>Eminox</w:t>
      </w:r>
      <w:r w:rsidRPr="001B0AED">
        <w:t xml:space="preserve"> will use </w:t>
      </w:r>
      <w:r w:rsidR="003C7C4A">
        <w:t>reasonable</w:t>
      </w:r>
      <w:r w:rsidRPr="001B0AED">
        <w:t xml:space="preserve"> endeavours to meet such dates, </w:t>
      </w:r>
      <w:r w:rsidR="00B97ADC">
        <w:t>Eminox</w:t>
      </w:r>
      <w:r w:rsidRPr="001B0AED">
        <w:t xml:space="preserve"> will not be liable for any delay in delivery howsoever caused and </w:t>
      </w:r>
      <w:proofErr w:type="gramStart"/>
      <w:r w:rsidRPr="001B0AED">
        <w:t xml:space="preserve">in particular </w:t>
      </w:r>
      <w:r w:rsidR="00B97ADC">
        <w:t>Eminox</w:t>
      </w:r>
      <w:proofErr w:type="gramEnd"/>
      <w:r w:rsidRPr="001B0AED">
        <w:t xml:space="preserve"> do not accept liability for any loss of use, loss of profit or other consequential loss arising from any delay. </w:t>
      </w:r>
    </w:p>
    <w:p w14:paraId="24281E80" w14:textId="70BF5B0A" w:rsidR="00FC580C" w:rsidRDefault="001B0AED" w:rsidP="00FC580C">
      <w:pPr>
        <w:pStyle w:val="NoSpacing"/>
        <w:numPr>
          <w:ilvl w:val="1"/>
          <w:numId w:val="1"/>
        </w:numPr>
        <w:jc w:val="both"/>
      </w:pPr>
      <w:r w:rsidRPr="001B0AED">
        <w:t xml:space="preserve">Unless otherwise agreed in writing, the method of despatch will be at our discretion. The cost of carriage/transport/post will be charged to the </w:t>
      </w:r>
      <w:r w:rsidR="00B97ADC">
        <w:t>Customer</w:t>
      </w:r>
      <w:r w:rsidRPr="001B0AED">
        <w:t xml:space="preserve">. Packing materials and cases are non-returnable and will be charged at cost to the </w:t>
      </w:r>
      <w:r w:rsidR="00B97ADC">
        <w:t xml:space="preserve">Customer. </w:t>
      </w:r>
    </w:p>
    <w:p w14:paraId="30DAFEA8" w14:textId="77777777" w:rsidR="00460FCF" w:rsidRDefault="00460FCF" w:rsidP="00460FCF">
      <w:pPr>
        <w:pStyle w:val="NoSpacing"/>
        <w:ind w:left="1440"/>
        <w:jc w:val="both"/>
      </w:pPr>
    </w:p>
    <w:p w14:paraId="684B6806" w14:textId="45698FBA" w:rsidR="001E4747" w:rsidRPr="001E4747" w:rsidRDefault="001E4747" w:rsidP="00460FCF">
      <w:pPr>
        <w:pStyle w:val="NoSpacing"/>
        <w:numPr>
          <w:ilvl w:val="0"/>
          <w:numId w:val="1"/>
        </w:numPr>
        <w:jc w:val="both"/>
        <w:rPr>
          <w:b/>
          <w:bCs/>
        </w:rPr>
      </w:pPr>
      <w:r w:rsidRPr="001E4747">
        <w:rPr>
          <w:b/>
          <w:bCs/>
        </w:rPr>
        <w:t>Loss or Damage to Goods</w:t>
      </w:r>
      <w:r w:rsidR="00BC09F7">
        <w:rPr>
          <w:b/>
          <w:bCs/>
        </w:rPr>
        <w:t xml:space="preserve"> </w:t>
      </w:r>
    </w:p>
    <w:p w14:paraId="49D7FA00" w14:textId="1D3FE89E" w:rsidR="00BC09F7" w:rsidRDefault="001E4747" w:rsidP="001E4747">
      <w:pPr>
        <w:pStyle w:val="NoSpacing"/>
        <w:numPr>
          <w:ilvl w:val="1"/>
          <w:numId w:val="1"/>
        </w:numPr>
        <w:jc w:val="both"/>
      </w:pPr>
      <w:r w:rsidRPr="001E4747">
        <w:t xml:space="preserve">When the method of delivery is at </w:t>
      </w:r>
      <w:r w:rsidR="00BC09F7">
        <w:t>Eminox’s</w:t>
      </w:r>
      <w:r w:rsidRPr="001E4747">
        <w:t xml:space="preserve"> discretion, risk in the </w:t>
      </w:r>
      <w:r w:rsidR="00BC09F7">
        <w:t>G</w:t>
      </w:r>
      <w:r w:rsidRPr="001E4747">
        <w:t xml:space="preserve">oods will transfer to the </w:t>
      </w:r>
      <w:r w:rsidR="00BC09F7">
        <w:t>Customer</w:t>
      </w:r>
      <w:r w:rsidRPr="001E4747">
        <w:t xml:space="preserve"> at point of delivery.</w:t>
      </w:r>
    </w:p>
    <w:p w14:paraId="20418B19" w14:textId="36CF9996" w:rsidR="00B2403F" w:rsidRDefault="00B2403F" w:rsidP="001E4747">
      <w:pPr>
        <w:pStyle w:val="NoSpacing"/>
        <w:numPr>
          <w:ilvl w:val="1"/>
          <w:numId w:val="1"/>
        </w:numPr>
        <w:jc w:val="both"/>
      </w:pPr>
      <w:r>
        <w:t>When Eminox has taken responsibility for deliver</w:t>
      </w:r>
      <w:r w:rsidR="000270E4">
        <w:t>y</w:t>
      </w:r>
      <w:r>
        <w:t xml:space="preserve"> to the Customer, </w:t>
      </w:r>
      <w:r w:rsidR="00BC09F7">
        <w:t>Eminox</w:t>
      </w:r>
      <w:r w:rsidR="001E4747" w:rsidRPr="001E4747">
        <w:t xml:space="preserve"> will repair or replace </w:t>
      </w:r>
      <w:r w:rsidR="00BC09F7">
        <w:t>G</w:t>
      </w:r>
      <w:r w:rsidR="001E4747" w:rsidRPr="001E4747">
        <w:t xml:space="preserve">oods which are damaged or lost in transit at no cost to the </w:t>
      </w:r>
      <w:r>
        <w:t>Customer</w:t>
      </w:r>
      <w:r w:rsidR="001E4747" w:rsidRPr="001E4747">
        <w:t xml:space="preserve"> provided we receive written notification of such loss or damage within three days of delivery or seven days of receipt of invoice. </w:t>
      </w:r>
    </w:p>
    <w:p w14:paraId="113F834C" w14:textId="6EE15405" w:rsidR="00460FCF" w:rsidRDefault="001E4747" w:rsidP="001E4747">
      <w:pPr>
        <w:pStyle w:val="NoSpacing"/>
        <w:numPr>
          <w:ilvl w:val="1"/>
          <w:numId w:val="1"/>
        </w:numPr>
        <w:jc w:val="both"/>
      </w:pPr>
      <w:r w:rsidRPr="001E4747">
        <w:t xml:space="preserve">When the method of delivery is prescribed by the </w:t>
      </w:r>
      <w:r w:rsidR="00906B17">
        <w:t>Customer</w:t>
      </w:r>
      <w:r w:rsidRPr="001E4747">
        <w:t xml:space="preserve"> or the </w:t>
      </w:r>
      <w:r w:rsidR="00906B17">
        <w:t>Customer</w:t>
      </w:r>
      <w:r w:rsidRPr="001E4747">
        <w:t xml:space="preserve"> collects</w:t>
      </w:r>
      <w:r w:rsidR="00906B17">
        <w:t xml:space="preserve"> the</w:t>
      </w:r>
      <w:r w:rsidRPr="001E4747">
        <w:t xml:space="preserve"> </w:t>
      </w:r>
      <w:r w:rsidR="00906B17">
        <w:t>G</w:t>
      </w:r>
      <w:r w:rsidRPr="001E4747">
        <w:t xml:space="preserve">oods from our works, risk in the </w:t>
      </w:r>
      <w:r w:rsidR="002B028A">
        <w:t>G</w:t>
      </w:r>
      <w:r w:rsidRPr="001E4747">
        <w:t>oods will pass at the time of despatch or collection from</w:t>
      </w:r>
      <w:r w:rsidR="009A5F82">
        <w:t xml:space="preserve"> the</w:t>
      </w:r>
      <w:r w:rsidR="00C4088F">
        <w:t xml:space="preserve"> Eminox site</w:t>
      </w:r>
      <w:r w:rsidRPr="001E4747">
        <w:t>.</w:t>
      </w:r>
    </w:p>
    <w:p w14:paraId="6BA1A4E5" w14:textId="400A4A87" w:rsidR="00BB07CD" w:rsidRDefault="00AA463C" w:rsidP="001E4747">
      <w:pPr>
        <w:pStyle w:val="NoSpacing"/>
        <w:numPr>
          <w:ilvl w:val="1"/>
          <w:numId w:val="1"/>
        </w:numPr>
        <w:jc w:val="both"/>
      </w:pPr>
      <w:r>
        <w:t xml:space="preserve">For the avoidance of doubt, </w:t>
      </w:r>
      <w:r w:rsidR="00A90C45">
        <w:t>t</w:t>
      </w:r>
      <w:r w:rsidR="00A90C45" w:rsidRPr="00A90C45">
        <w:t>he delivery of the Goods shall be made on an Ex Works (EXW) basis in accordance with Incoterms® 2020</w:t>
      </w:r>
      <w:r w:rsidR="00C54FB5">
        <w:t xml:space="preserve"> unless otherwise agreed between the parties in writing</w:t>
      </w:r>
      <w:r w:rsidR="00A90C45" w:rsidRPr="00A90C45">
        <w:t>.</w:t>
      </w:r>
    </w:p>
    <w:p w14:paraId="08F61B8D" w14:textId="77777777" w:rsidR="005F0651" w:rsidRDefault="005F0651" w:rsidP="005F0651">
      <w:pPr>
        <w:pStyle w:val="NoSpacing"/>
        <w:ind w:left="1440"/>
        <w:jc w:val="both"/>
      </w:pPr>
    </w:p>
    <w:p w14:paraId="7D786007" w14:textId="2A1D483A" w:rsidR="005F0651" w:rsidRPr="00813063" w:rsidRDefault="00813063" w:rsidP="005F0651">
      <w:pPr>
        <w:pStyle w:val="NoSpacing"/>
        <w:numPr>
          <w:ilvl w:val="0"/>
          <w:numId w:val="1"/>
        </w:numPr>
        <w:jc w:val="both"/>
        <w:rPr>
          <w:b/>
          <w:bCs/>
        </w:rPr>
      </w:pPr>
      <w:r w:rsidRPr="00813063">
        <w:rPr>
          <w:b/>
          <w:bCs/>
        </w:rPr>
        <w:t>Intellectual Property</w:t>
      </w:r>
    </w:p>
    <w:p w14:paraId="094E8138" w14:textId="63C4D40A" w:rsidR="00813063" w:rsidRDefault="009422CC" w:rsidP="00E5454B">
      <w:pPr>
        <w:pStyle w:val="NoSpacing"/>
        <w:numPr>
          <w:ilvl w:val="1"/>
          <w:numId w:val="1"/>
        </w:numPr>
        <w:jc w:val="both"/>
      </w:pPr>
      <w:r>
        <w:t xml:space="preserve">Copyright and all other intellectual property rights in our Goods are reserved to Eminox and neither </w:t>
      </w:r>
      <w:r w:rsidR="00EC56C0">
        <w:t>the</w:t>
      </w:r>
      <w:r>
        <w:t xml:space="preserve"> Goods nor any drawings supplied by Eminox may be copied without our prior written consent.</w:t>
      </w:r>
      <w:r w:rsidR="00A56127">
        <w:t xml:space="preserve"> </w:t>
      </w:r>
      <w:r w:rsidR="00A56127" w:rsidRPr="00EC56C0">
        <w:t>Eminox gives no warranties with respect to use of the Goods by the Customer.</w:t>
      </w:r>
      <w:r w:rsidR="00A56127">
        <w:t xml:space="preserve"> </w:t>
      </w:r>
    </w:p>
    <w:p w14:paraId="1DD8E513" w14:textId="77777777" w:rsidR="00A56127" w:rsidRDefault="00A56127" w:rsidP="00A56127">
      <w:pPr>
        <w:pStyle w:val="NoSpacing"/>
        <w:ind w:left="1440"/>
        <w:jc w:val="both"/>
      </w:pPr>
    </w:p>
    <w:p w14:paraId="3E67A799" w14:textId="450DB9A8" w:rsidR="00A56127" w:rsidRPr="00E534A0" w:rsidRDefault="00394669" w:rsidP="00A56127">
      <w:pPr>
        <w:pStyle w:val="NoSpacing"/>
        <w:numPr>
          <w:ilvl w:val="0"/>
          <w:numId w:val="1"/>
        </w:numPr>
        <w:jc w:val="both"/>
        <w:rPr>
          <w:b/>
          <w:bCs/>
        </w:rPr>
      </w:pPr>
      <w:r w:rsidRPr="00E534A0">
        <w:rPr>
          <w:b/>
          <w:bCs/>
        </w:rPr>
        <w:t>Confidentiality</w:t>
      </w:r>
    </w:p>
    <w:p w14:paraId="7AA8896D" w14:textId="20EA7CEB" w:rsidR="00394669" w:rsidRDefault="00394669" w:rsidP="00394669">
      <w:pPr>
        <w:pStyle w:val="NoSpacing"/>
        <w:numPr>
          <w:ilvl w:val="1"/>
          <w:numId w:val="1"/>
        </w:numPr>
        <w:jc w:val="both"/>
      </w:pPr>
      <w:r w:rsidRPr="00394669">
        <w:t xml:space="preserve">The seller and buyer agree to keep confidential, and shall not disclose to any third parties, or use for any other purpose than processing a sale or purchase order, any information received in connection with the sale, such as, but not limited to technical, commercial business related, financial or company information. No received confidential information may be copied, reproduced transmitted, communicated or disclosed to a third party without the express written consent of the disclosing party. The receiving party shall use its best efforts to protect all confidential information from unauthorised, negligent or other inadvertent transfer to any third party, and that such protection is at least to the same degree as to which it protects its own confidential information. If so requested, upon </w:t>
      </w:r>
      <w:r w:rsidRPr="00394669">
        <w:lastRenderedPageBreak/>
        <w:t>completion of the sale, the receiving party shall immediately return all confidential materials to the disclosing party, including but not limited to any copies of such materials. Confidentiality obligations shall survive the conclusion of any business dealings between the buyer and seller.</w:t>
      </w:r>
    </w:p>
    <w:p w14:paraId="7DD4FEB2" w14:textId="77777777" w:rsidR="00C3739F" w:rsidRDefault="00C3739F" w:rsidP="00C3739F">
      <w:pPr>
        <w:pStyle w:val="NoSpacing"/>
        <w:ind w:left="1440"/>
        <w:jc w:val="both"/>
      </w:pPr>
    </w:p>
    <w:p w14:paraId="01AFA519" w14:textId="3684B266" w:rsidR="00C3739F" w:rsidRPr="00CB6936" w:rsidRDefault="00CB6936" w:rsidP="00C3739F">
      <w:pPr>
        <w:pStyle w:val="NoSpacing"/>
        <w:numPr>
          <w:ilvl w:val="0"/>
          <w:numId w:val="1"/>
        </w:numPr>
        <w:jc w:val="both"/>
      </w:pPr>
      <w:r>
        <w:rPr>
          <w:b/>
          <w:bCs/>
        </w:rPr>
        <w:t>Default</w:t>
      </w:r>
    </w:p>
    <w:p w14:paraId="33FC2B26" w14:textId="20CAD7BD" w:rsidR="00CB6936" w:rsidRDefault="00CB6936" w:rsidP="00CB6936">
      <w:pPr>
        <w:pStyle w:val="NoSpacing"/>
        <w:numPr>
          <w:ilvl w:val="1"/>
          <w:numId w:val="1"/>
        </w:numPr>
        <w:jc w:val="both"/>
      </w:pPr>
      <w:r>
        <w:t xml:space="preserve">If the Customer </w:t>
      </w:r>
      <w:r w:rsidR="00725740" w:rsidRPr="00725740">
        <w:t xml:space="preserve">becomes insolvent, is unable to pay </w:t>
      </w:r>
      <w:r w:rsidR="00725740">
        <w:t>their</w:t>
      </w:r>
      <w:r w:rsidR="00725740" w:rsidRPr="00725740">
        <w:t xml:space="preserve"> debts as they fall due, enters into liquidation (whether voluntary or compulsory), has a receiver, administrator or similar officer appointed over its assets, or makes any arrangement or composition with its creditors</w:t>
      </w:r>
      <w:r w:rsidR="00E76E78">
        <w:t xml:space="preserve">, </w:t>
      </w:r>
      <w:r w:rsidR="003F2DA6">
        <w:t xml:space="preserve">Eminox shall be obliged to terminate any Order if payment in full has not been made and received in clear funds by Eminox. </w:t>
      </w:r>
    </w:p>
    <w:p w14:paraId="4936EB2D" w14:textId="77777777" w:rsidR="00801026" w:rsidRDefault="00801026" w:rsidP="009658A2">
      <w:pPr>
        <w:pStyle w:val="NoSpacing"/>
        <w:ind w:left="1440"/>
        <w:jc w:val="both"/>
      </w:pPr>
    </w:p>
    <w:p w14:paraId="35266C35" w14:textId="56933384" w:rsidR="00801026" w:rsidRDefault="009B1EC3" w:rsidP="00801026">
      <w:pPr>
        <w:pStyle w:val="NoSpacing"/>
        <w:numPr>
          <w:ilvl w:val="0"/>
          <w:numId w:val="1"/>
        </w:numPr>
        <w:jc w:val="both"/>
      </w:pPr>
      <w:r w:rsidRPr="00801026">
        <w:rPr>
          <w:b/>
          <w:bCs/>
        </w:rPr>
        <w:t xml:space="preserve">Limitation </w:t>
      </w:r>
      <w:r>
        <w:rPr>
          <w:b/>
          <w:bCs/>
        </w:rPr>
        <w:t>o</w:t>
      </w:r>
      <w:r w:rsidRPr="00801026">
        <w:rPr>
          <w:b/>
          <w:bCs/>
        </w:rPr>
        <w:t>f Liability</w:t>
      </w:r>
      <w:r>
        <w:t xml:space="preserve"> </w:t>
      </w:r>
    </w:p>
    <w:p w14:paraId="0D2A8AF4" w14:textId="77777777" w:rsidR="00801026" w:rsidRDefault="00801026" w:rsidP="00801026">
      <w:pPr>
        <w:pStyle w:val="NoSpacing"/>
        <w:numPr>
          <w:ilvl w:val="1"/>
          <w:numId w:val="1"/>
        </w:numPr>
        <w:jc w:val="both"/>
      </w:pPr>
      <w:r>
        <w:t xml:space="preserve">Insofar as is permitted by the laws of England and Wales, the liability of Eminox (whether in contract, tort, under any warranty, under any indemnity or otherwise) shall not exceed 100% of the price paid under the individual order in respect of which the liability arose. </w:t>
      </w:r>
    </w:p>
    <w:p w14:paraId="081C97F6" w14:textId="4FFC0BD6" w:rsidR="00801026" w:rsidRDefault="00801026" w:rsidP="00801026">
      <w:pPr>
        <w:pStyle w:val="NoSpacing"/>
        <w:numPr>
          <w:ilvl w:val="1"/>
          <w:numId w:val="1"/>
        </w:numPr>
        <w:jc w:val="both"/>
      </w:pPr>
      <w:r>
        <w:t xml:space="preserve">Neither party shall have any liability under these </w:t>
      </w:r>
      <w:r w:rsidR="00A026EE">
        <w:t>T</w:t>
      </w:r>
      <w:r>
        <w:t>erms to the other, whether in contract, tort, under an indemnity or otherwise, for any loss of profit, loss of revenue, loss of business or of business opportunity, diminution of goodwill or for any indirect, consequential, special or pure economic loss suffered or incurred by the other Party, except where such losses arise from gross negligence, wilful misconduct or fraud. Limitations under this heading shall not apply in cases of a breach of confidentiality obligations, infringements of industrial or intellectual property rights, a failure to comply with applicable laws and regulations or when a law or regulatory provision allows exceeding the limitation of liability.</w:t>
      </w:r>
    </w:p>
    <w:p w14:paraId="6CB2BA70" w14:textId="77777777" w:rsidR="004D21CD" w:rsidRDefault="004D21CD" w:rsidP="004D21CD">
      <w:pPr>
        <w:pStyle w:val="NoSpacing"/>
        <w:ind w:left="1440"/>
        <w:jc w:val="both"/>
      </w:pPr>
    </w:p>
    <w:p w14:paraId="189E0AB6" w14:textId="7C58F9C3" w:rsidR="004D21CD" w:rsidRDefault="004D21CD" w:rsidP="004D21CD">
      <w:pPr>
        <w:pStyle w:val="NoSpacing"/>
        <w:numPr>
          <w:ilvl w:val="0"/>
          <w:numId w:val="1"/>
        </w:numPr>
        <w:jc w:val="both"/>
      </w:pPr>
      <w:r w:rsidRPr="004D21CD">
        <w:rPr>
          <w:b/>
          <w:bCs/>
        </w:rPr>
        <w:t>Dispute Resolution</w:t>
      </w:r>
      <w:r w:rsidR="00765A19">
        <w:t xml:space="preserve">, </w:t>
      </w:r>
      <w:r w:rsidR="00765A19">
        <w:rPr>
          <w:b/>
          <w:bCs/>
        </w:rPr>
        <w:t>Jurisdiction and Governing Law</w:t>
      </w:r>
    </w:p>
    <w:p w14:paraId="3CB60E23" w14:textId="7C7296D0" w:rsidR="00801026" w:rsidRDefault="00801026" w:rsidP="004D21CD">
      <w:pPr>
        <w:pStyle w:val="NoSpacing"/>
        <w:numPr>
          <w:ilvl w:val="1"/>
          <w:numId w:val="1"/>
        </w:numPr>
        <w:jc w:val="both"/>
      </w:pPr>
      <w:r>
        <w:t xml:space="preserve">Any disputes or difficulties which may arise out of these </w:t>
      </w:r>
      <w:r w:rsidR="00A026EE">
        <w:t>T</w:t>
      </w:r>
      <w:r>
        <w:t xml:space="preserve">erms, shall be settled amicably between the </w:t>
      </w:r>
      <w:r w:rsidR="00765A19">
        <w:t>p</w:t>
      </w:r>
      <w:r>
        <w:t xml:space="preserve">arties. </w:t>
      </w:r>
      <w:proofErr w:type="gramStart"/>
      <w:r>
        <w:t>In the event that</w:t>
      </w:r>
      <w:proofErr w:type="gramEnd"/>
      <w:r>
        <w:t xml:space="preserve"> amicable settlement cannot be reached within a reasonable time, each </w:t>
      </w:r>
      <w:r w:rsidR="00765A19">
        <w:t>p</w:t>
      </w:r>
      <w:r>
        <w:t>arty irrevocably agrees that the courts of England and Wales shall have exclusive jurisdiction to settle any dispute or claim (including non-contractual disputes or claims) arising out of or in connection with this agreement or its subject matter or formation. The language to be used during Arbitration will be English, and the buyer and seller agree that the decision of the arbitrators is final and binding.</w:t>
      </w:r>
      <w:r w:rsidR="00765A19">
        <w:t xml:space="preserve"> </w:t>
      </w:r>
    </w:p>
    <w:p w14:paraId="3E50F85A" w14:textId="64C51D13" w:rsidR="00765A19" w:rsidRDefault="00765A19" w:rsidP="004D21CD">
      <w:pPr>
        <w:pStyle w:val="NoSpacing"/>
        <w:numPr>
          <w:ilvl w:val="1"/>
          <w:numId w:val="1"/>
        </w:numPr>
        <w:jc w:val="both"/>
      </w:pPr>
      <w:r>
        <w:t xml:space="preserve">The Terms shall be governed by the laws of England and Wales. </w:t>
      </w:r>
    </w:p>
    <w:p w14:paraId="0323F01E" w14:textId="77777777" w:rsidR="00473942" w:rsidRDefault="00473942" w:rsidP="00473942">
      <w:pPr>
        <w:pStyle w:val="NoSpacing"/>
        <w:ind w:left="1440"/>
        <w:jc w:val="both"/>
      </w:pPr>
    </w:p>
    <w:p w14:paraId="405DD5DC" w14:textId="6E4C330D" w:rsidR="00473942" w:rsidRDefault="00246E28" w:rsidP="00473942">
      <w:pPr>
        <w:pStyle w:val="NoSpacing"/>
        <w:numPr>
          <w:ilvl w:val="0"/>
          <w:numId w:val="1"/>
        </w:numPr>
        <w:jc w:val="both"/>
        <w:rPr>
          <w:b/>
          <w:bCs/>
        </w:rPr>
      </w:pPr>
      <w:r w:rsidRPr="00246E28">
        <w:rPr>
          <w:b/>
          <w:bCs/>
        </w:rPr>
        <w:t>General</w:t>
      </w:r>
    </w:p>
    <w:p w14:paraId="106CC631" w14:textId="2D870DFF" w:rsidR="00246E28" w:rsidRPr="00246E28" w:rsidRDefault="00246E28" w:rsidP="00246E28">
      <w:pPr>
        <w:pStyle w:val="NoSpacing"/>
        <w:numPr>
          <w:ilvl w:val="1"/>
          <w:numId w:val="1"/>
        </w:numPr>
        <w:jc w:val="both"/>
        <w:rPr>
          <w:b/>
          <w:bCs/>
        </w:rPr>
      </w:pPr>
      <w:r>
        <w:t>No amendment to these Terms shall be permitted unless agreed in writing and signed by both parties in an Addendum to the Order.</w:t>
      </w:r>
    </w:p>
    <w:p w14:paraId="32DCF679" w14:textId="52E03991" w:rsidR="00246E28" w:rsidRPr="009B79F2" w:rsidRDefault="00246E28" w:rsidP="00246E28">
      <w:pPr>
        <w:pStyle w:val="NoSpacing"/>
        <w:numPr>
          <w:ilvl w:val="1"/>
          <w:numId w:val="1"/>
        </w:numPr>
        <w:jc w:val="both"/>
        <w:rPr>
          <w:b/>
          <w:bCs/>
        </w:rPr>
      </w:pPr>
      <w:r>
        <w:t xml:space="preserve">If </w:t>
      </w:r>
      <w:r w:rsidR="00E80648" w:rsidRPr="00E80648">
        <w:t xml:space="preserve">any provision of </w:t>
      </w:r>
      <w:r w:rsidR="00E80648">
        <w:t xml:space="preserve">these Terms </w:t>
      </w:r>
      <w:r w:rsidR="00331E4D">
        <w:t>is</w:t>
      </w:r>
      <w:r w:rsidR="00E80648" w:rsidRPr="00E80648">
        <w:t xml:space="preserve"> found to be invalid, illegal, or unenforceable, that provision shall be deemed deleted, but the remaining provisions shall continue in full force and effect.</w:t>
      </w:r>
    </w:p>
    <w:p w14:paraId="3A477730" w14:textId="61DDCB7D" w:rsidR="009B79F2" w:rsidRDefault="009B79F2" w:rsidP="00246E28">
      <w:pPr>
        <w:pStyle w:val="NoSpacing"/>
        <w:numPr>
          <w:ilvl w:val="1"/>
          <w:numId w:val="1"/>
        </w:numPr>
        <w:jc w:val="both"/>
      </w:pPr>
      <w:r w:rsidRPr="009B79F2">
        <w:t>Eminox shall not be liable if manufacture or delivery is prevented, hindered or delayed by reasons outside of its control, including</w:t>
      </w:r>
      <w:r>
        <w:t xml:space="preserve"> (but not limited to)</w:t>
      </w:r>
      <w:r w:rsidRPr="009B79F2">
        <w:t xml:space="preserve"> any strikes, pandemic, </w:t>
      </w:r>
      <w:proofErr w:type="gramStart"/>
      <w:r w:rsidRPr="009B79F2">
        <w:t>lock-outs</w:t>
      </w:r>
      <w:proofErr w:type="gramEnd"/>
      <w:r w:rsidRPr="009B79F2">
        <w:t xml:space="preserve"> or other industrial disputes, difficulty in obtaining labour or materials, breakdown of plant or machinery, interruption of power supplies, government action or any other circumstances outside our control.</w:t>
      </w:r>
    </w:p>
    <w:p w14:paraId="6BDCFCFE" w14:textId="0C9C3F7E" w:rsidR="00F46F2D" w:rsidRPr="009B79F2" w:rsidRDefault="00F46F2D" w:rsidP="00246E28">
      <w:pPr>
        <w:pStyle w:val="NoSpacing"/>
        <w:numPr>
          <w:ilvl w:val="1"/>
          <w:numId w:val="1"/>
        </w:numPr>
        <w:jc w:val="both"/>
      </w:pPr>
      <w:r>
        <w:lastRenderedPageBreak/>
        <w:t xml:space="preserve">The Customer shall comply with all applicable laws and regulations, in particular anti bribery and corruption, prevention of fraud, </w:t>
      </w:r>
      <w:r w:rsidR="00830013">
        <w:t>environmental and diversity laws</w:t>
      </w:r>
      <w:r w:rsidR="0065214E">
        <w:t xml:space="preserve">, and have appropriate policies in place to manage and prevent such non-compliance. </w:t>
      </w:r>
    </w:p>
    <w:sectPr w:rsidR="00F46F2D" w:rsidRPr="009B79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DDCC" w14:textId="77777777" w:rsidR="006734D8" w:rsidRDefault="006734D8" w:rsidP="001D0535">
      <w:pPr>
        <w:spacing w:after="0" w:line="240" w:lineRule="auto"/>
      </w:pPr>
      <w:r>
        <w:separator/>
      </w:r>
    </w:p>
  </w:endnote>
  <w:endnote w:type="continuationSeparator" w:id="0">
    <w:p w14:paraId="0A2FA0FD" w14:textId="77777777" w:rsidR="006734D8" w:rsidRDefault="006734D8" w:rsidP="001D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7FEC" w14:textId="0FC56B93" w:rsidR="001D0535" w:rsidRPr="001D0535" w:rsidRDefault="001D0535" w:rsidP="001D0535">
    <w:pPr>
      <w:pStyle w:val="Footer"/>
      <w:jc w:val="right"/>
      <w:rPr>
        <w:b/>
        <w:bCs/>
      </w:rPr>
    </w:pPr>
    <w:r w:rsidRPr="001D0535">
      <w:rPr>
        <w:b/>
        <w:bCs/>
      </w:rPr>
      <w:t>V</w:t>
    </w:r>
    <w:r w:rsidR="00FF16C5">
      <w:rPr>
        <w:b/>
        <w:bCs/>
      </w:rPr>
      <w:t>1</w:t>
    </w:r>
    <w:r w:rsidRPr="001D0535">
      <w:rPr>
        <w:b/>
        <w:bCs/>
      </w:rPr>
      <w:t xml:space="preserve"> </w:t>
    </w:r>
    <w:r w:rsidR="00FF16C5">
      <w:rPr>
        <w:b/>
        <w:bCs/>
      </w:rPr>
      <w:t xml:space="preserve">August </w:t>
    </w:r>
    <w:r w:rsidRPr="001D0535">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F25B" w14:textId="77777777" w:rsidR="006734D8" w:rsidRDefault="006734D8" w:rsidP="001D0535">
      <w:pPr>
        <w:spacing w:after="0" w:line="240" w:lineRule="auto"/>
      </w:pPr>
      <w:r>
        <w:separator/>
      </w:r>
    </w:p>
  </w:footnote>
  <w:footnote w:type="continuationSeparator" w:id="0">
    <w:p w14:paraId="41950A71" w14:textId="77777777" w:rsidR="006734D8" w:rsidRDefault="006734D8" w:rsidP="001D0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787E" w14:textId="39623D8F" w:rsidR="005C2C50" w:rsidRDefault="005C2C50">
    <w:pPr>
      <w:pStyle w:val="Header"/>
    </w:pPr>
    <w:r>
      <w:rPr>
        <w:noProof/>
      </w:rPr>
      <w:drawing>
        <wp:inline distT="0" distB="0" distL="0" distR="0" wp14:anchorId="08E0566B" wp14:editId="2574A131">
          <wp:extent cx="1343025" cy="332260"/>
          <wp:effectExtent l="0" t="0" r="0" b="0"/>
          <wp:docPr id="137060099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00997"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2080" cy="336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1E2C"/>
    <w:multiLevelType w:val="hybridMultilevel"/>
    <w:tmpl w:val="3260ED9C"/>
    <w:lvl w:ilvl="0" w:tplc="CE9E01F8">
      <w:start w:val="1"/>
      <w:numFmt w:val="decimal"/>
      <w:lvlText w:val="%1."/>
      <w:lvlJc w:val="left"/>
      <w:pPr>
        <w:ind w:left="720" w:hanging="360"/>
      </w:pPr>
      <w:rPr>
        <w:rFonts w:hint="default"/>
        <w:b/>
        <w:bCs/>
      </w:rPr>
    </w:lvl>
    <w:lvl w:ilvl="1" w:tplc="AFE80700">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3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B6"/>
    <w:rsid w:val="00013955"/>
    <w:rsid w:val="00026A75"/>
    <w:rsid w:val="000270E4"/>
    <w:rsid w:val="00031F35"/>
    <w:rsid w:val="00066986"/>
    <w:rsid w:val="000748C4"/>
    <w:rsid w:val="000825A2"/>
    <w:rsid w:val="00092323"/>
    <w:rsid w:val="000A19F9"/>
    <w:rsid w:val="000C0214"/>
    <w:rsid w:val="000F1FD3"/>
    <w:rsid w:val="00114C81"/>
    <w:rsid w:val="00155E06"/>
    <w:rsid w:val="00186125"/>
    <w:rsid w:val="001B0AED"/>
    <w:rsid w:val="001D0535"/>
    <w:rsid w:val="001E4747"/>
    <w:rsid w:val="001F0882"/>
    <w:rsid w:val="002204C3"/>
    <w:rsid w:val="00233A3F"/>
    <w:rsid w:val="00234E7F"/>
    <w:rsid w:val="00240E6F"/>
    <w:rsid w:val="00244112"/>
    <w:rsid w:val="00246E28"/>
    <w:rsid w:val="00247C97"/>
    <w:rsid w:val="00247E89"/>
    <w:rsid w:val="00256C49"/>
    <w:rsid w:val="002B028A"/>
    <w:rsid w:val="00322A30"/>
    <w:rsid w:val="00331E4D"/>
    <w:rsid w:val="00380F8C"/>
    <w:rsid w:val="003921DA"/>
    <w:rsid w:val="00394669"/>
    <w:rsid w:val="0039530F"/>
    <w:rsid w:val="003A2BC1"/>
    <w:rsid w:val="003B7C95"/>
    <w:rsid w:val="003C7C4A"/>
    <w:rsid w:val="003D22E8"/>
    <w:rsid w:val="003E6777"/>
    <w:rsid w:val="003F1D7E"/>
    <w:rsid w:val="003F2DA6"/>
    <w:rsid w:val="004129B4"/>
    <w:rsid w:val="0044669D"/>
    <w:rsid w:val="00452860"/>
    <w:rsid w:val="00460FCF"/>
    <w:rsid w:val="00473942"/>
    <w:rsid w:val="00477177"/>
    <w:rsid w:val="004803BF"/>
    <w:rsid w:val="004920A7"/>
    <w:rsid w:val="004A06E5"/>
    <w:rsid w:val="004B59E3"/>
    <w:rsid w:val="004C555E"/>
    <w:rsid w:val="004D21CD"/>
    <w:rsid w:val="004F26DC"/>
    <w:rsid w:val="00503FD9"/>
    <w:rsid w:val="0055173A"/>
    <w:rsid w:val="00563D62"/>
    <w:rsid w:val="00572E4D"/>
    <w:rsid w:val="00596F9D"/>
    <w:rsid w:val="005A0D58"/>
    <w:rsid w:val="005C2C50"/>
    <w:rsid w:val="005F0651"/>
    <w:rsid w:val="00645018"/>
    <w:rsid w:val="0065214E"/>
    <w:rsid w:val="00660780"/>
    <w:rsid w:val="00660B21"/>
    <w:rsid w:val="00660BCB"/>
    <w:rsid w:val="00666125"/>
    <w:rsid w:val="006734D8"/>
    <w:rsid w:val="006B6537"/>
    <w:rsid w:val="006E067C"/>
    <w:rsid w:val="00700B3B"/>
    <w:rsid w:val="00725740"/>
    <w:rsid w:val="00765A19"/>
    <w:rsid w:val="007757C4"/>
    <w:rsid w:val="00782089"/>
    <w:rsid w:val="00792A23"/>
    <w:rsid w:val="007A4D77"/>
    <w:rsid w:val="007D2DB0"/>
    <w:rsid w:val="007D6EE8"/>
    <w:rsid w:val="00801026"/>
    <w:rsid w:val="00807FB6"/>
    <w:rsid w:val="00813063"/>
    <w:rsid w:val="00830013"/>
    <w:rsid w:val="00843AF4"/>
    <w:rsid w:val="008738F8"/>
    <w:rsid w:val="00875ADD"/>
    <w:rsid w:val="0088451D"/>
    <w:rsid w:val="008A4387"/>
    <w:rsid w:val="008A7888"/>
    <w:rsid w:val="008D4894"/>
    <w:rsid w:val="009050C6"/>
    <w:rsid w:val="00906874"/>
    <w:rsid w:val="00906B17"/>
    <w:rsid w:val="0091752A"/>
    <w:rsid w:val="009422CC"/>
    <w:rsid w:val="009658A2"/>
    <w:rsid w:val="00984A21"/>
    <w:rsid w:val="009919DD"/>
    <w:rsid w:val="0099601E"/>
    <w:rsid w:val="009A5F82"/>
    <w:rsid w:val="009B050D"/>
    <w:rsid w:val="009B1EC3"/>
    <w:rsid w:val="009B79F2"/>
    <w:rsid w:val="00A026EE"/>
    <w:rsid w:val="00A02DE8"/>
    <w:rsid w:val="00A37538"/>
    <w:rsid w:val="00A43C00"/>
    <w:rsid w:val="00A56127"/>
    <w:rsid w:val="00A843CE"/>
    <w:rsid w:val="00A90C45"/>
    <w:rsid w:val="00AA45EC"/>
    <w:rsid w:val="00AA463C"/>
    <w:rsid w:val="00AC2E18"/>
    <w:rsid w:val="00AF7C67"/>
    <w:rsid w:val="00B11244"/>
    <w:rsid w:val="00B2403F"/>
    <w:rsid w:val="00B26423"/>
    <w:rsid w:val="00B43DF5"/>
    <w:rsid w:val="00B97ADC"/>
    <w:rsid w:val="00BB07CD"/>
    <w:rsid w:val="00BB1203"/>
    <w:rsid w:val="00BC09F7"/>
    <w:rsid w:val="00BC4036"/>
    <w:rsid w:val="00BC7396"/>
    <w:rsid w:val="00BE7D99"/>
    <w:rsid w:val="00C002F9"/>
    <w:rsid w:val="00C049B6"/>
    <w:rsid w:val="00C1010C"/>
    <w:rsid w:val="00C136D6"/>
    <w:rsid w:val="00C35591"/>
    <w:rsid w:val="00C3739F"/>
    <w:rsid w:val="00C4088F"/>
    <w:rsid w:val="00C509E2"/>
    <w:rsid w:val="00C54FB5"/>
    <w:rsid w:val="00C85DB5"/>
    <w:rsid w:val="00C97FEF"/>
    <w:rsid w:val="00CA2E97"/>
    <w:rsid w:val="00CB6936"/>
    <w:rsid w:val="00D45FE5"/>
    <w:rsid w:val="00D51175"/>
    <w:rsid w:val="00D6665D"/>
    <w:rsid w:val="00DC3541"/>
    <w:rsid w:val="00DE27A4"/>
    <w:rsid w:val="00E219DE"/>
    <w:rsid w:val="00E534A0"/>
    <w:rsid w:val="00E5454B"/>
    <w:rsid w:val="00E64BF2"/>
    <w:rsid w:val="00E76E78"/>
    <w:rsid w:val="00E80648"/>
    <w:rsid w:val="00EA14AB"/>
    <w:rsid w:val="00EB7D8A"/>
    <w:rsid w:val="00EC56C0"/>
    <w:rsid w:val="00ED4A8E"/>
    <w:rsid w:val="00ED6EE1"/>
    <w:rsid w:val="00F00A36"/>
    <w:rsid w:val="00F21716"/>
    <w:rsid w:val="00F4136F"/>
    <w:rsid w:val="00F44627"/>
    <w:rsid w:val="00F453A7"/>
    <w:rsid w:val="00F46F2D"/>
    <w:rsid w:val="00F561A0"/>
    <w:rsid w:val="00FA7565"/>
    <w:rsid w:val="00FB3B9C"/>
    <w:rsid w:val="00FC580C"/>
    <w:rsid w:val="00FF032A"/>
    <w:rsid w:val="00FF1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0BE1"/>
  <w15:chartTrackingRefBased/>
  <w15:docId w15:val="{B3DAB06B-1E0A-4B42-923A-C00DD8BA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FB6"/>
    <w:rPr>
      <w:rFonts w:eastAsiaTheme="majorEastAsia" w:cstheme="majorBidi"/>
      <w:color w:val="272727" w:themeColor="text1" w:themeTint="D8"/>
    </w:rPr>
  </w:style>
  <w:style w:type="paragraph" w:styleId="Title">
    <w:name w:val="Title"/>
    <w:basedOn w:val="Normal"/>
    <w:next w:val="Normal"/>
    <w:link w:val="TitleChar"/>
    <w:uiPriority w:val="10"/>
    <w:qFormat/>
    <w:rsid w:val="00807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FB6"/>
    <w:pPr>
      <w:spacing w:before="160"/>
      <w:jc w:val="center"/>
    </w:pPr>
    <w:rPr>
      <w:i/>
      <w:iCs/>
      <w:color w:val="404040" w:themeColor="text1" w:themeTint="BF"/>
    </w:rPr>
  </w:style>
  <w:style w:type="character" w:customStyle="1" w:styleId="QuoteChar">
    <w:name w:val="Quote Char"/>
    <w:basedOn w:val="DefaultParagraphFont"/>
    <w:link w:val="Quote"/>
    <w:uiPriority w:val="29"/>
    <w:rsid w:val="00807FB6"/>
    <w:rPr>
      <w:i/>
      <w:iCs/>
      <w:color w:val="404040" w:themeColor="text1" w:themeTint="BF"/>
    </w:rPr>
  </w:style>
  <w:style w:type="paragraph" w:styleId="ListParagraph">
    <w:name w:val="List Paragraph"/>
    <w:basedOn w:val="Normal"/>
    <w:uiPriority w:val="34"/>
    <w:qFormat/>
    <w:rsid w:val="00807FB6"/>
    <w:pPr>
      <w:ind w:left="720"/>
      <w:contextualSpacing/>
    </w:pPr>
  </w:style>
  <w:style w:type="character" w:styleId="IntenseEmphasis">
    <w:name w:val="Intense Emphasis"/>
    <w:basedOn w:val="DefaultParagraphFont"/>
    <w:uiPriority w:val="21"/>
    <w:qFormat/>
    <w:rsid w:val="00807FB6"/>
    <w:rPr>
      <w:i/>
      <w:iCs/>
      <w:color w:val="0F4761" w:themeColor="accent1" w:themeShade="BF"/>
    </w:rPr>
  </w:style>
  <w:style w:type="paragraph" w:styleId="IntenseQuote">
    <w:name w:val="Intense Quote"/>
    <w:basedOn w:val="Normal"/>
    <w:next w:val="Normal"/>
    <w:link w:val="IntenseQuoteChar"/>
    <w:uiPriority w:val="30"/>
    <w:qFormat/>
    <w:rsid w:val="00807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FB6"/>
    <w:rPr>
      <w:i/>
      <w:iCs/>
      <w:color w:val="0F4761" w:themeColor="accent1" w:themeShade="BF"/>
    </w:rPr>
  </w:style>
  <w:style w:type="character" w:styleId="IntenseReference">
    <w:name w:val="Intense Reference"/>
    <w:basedOn w:val="DefaultParagraphFont"/>
    <w:uiPriority w:val="32"/>
    <w:qFormat/>
    <w:rsid w:val="00807FB6"/>
    <w:rPr>
      <w:b/>
      <w:bCs/>
      <w:smallCaps/>
      <w:color w:val="0F4761" w:themeColor="accent1" w:themeShade="BF"/>
      <w:spacing w:val="5"/>
    </w:rPr>
  </w:style>
  <w:style w:type="paragraph" w:styleId="NoSpacing">
    <w:name w:val="No Spacing"/>
    <w:uiPriority w:val="1"/>
    <w:qFormat/>
    <w:rsid w:val="00807FB6"/>
    <w:pPr>
      <w:spacing w:after="0" w:line="240" w:lineRule="auto"/>
    </w:pPr>
  </w:style>
  <w:style w:type="table" w:styleId="TableGrid">
    <w:name w:val="Table Grid"/>
    <w:basedOn w:val="TableNormal"/>
    <w:uiPriority w:val="39"/>
    <w:rsid w:val="0080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7FB6"/>
    <w:rPr>
      <w:b/>
      <w:bCs/>
    </w:rPr>
  </w:style>
  <w:style w:type="character" w:styleId="Hyperlink">
    <w:name w:val="Hyperlink"/>
    <w:basedOn w:val="DefaultParagraphFont"/>
    <w:uiPriority w:val="99"/>
    <w:unhideWhenUsed/>
    <w:rsid w:val="00ED6EE1"/>
    <w:rPr>
      <w:color w:val="467886" w:themeColor="hyperlink"/>
      <w:u w:val="single"/>
    </w:rPr>
  </w:style>
  <w:style w:type="character" w:styleId="UnresolvedMention">
    <w:name w:val="Unresolved Mention"/>
    <w:basedOn w:val="DefaultParagraphFont"/>
    <w:uiPriority w:val="99"/>
    <w:semiHidden/>
    <w:unhideWhenUsed/>
    <w:rsid w:val="00ED6EE1"/>
    <w:rPr>
      <w:color w:val="605E5C"/>
      <w:shd w:val="clear" w:color="auto" w:fill="E1DFDD"/>
    </w:rPr>
  </w:style>
  <w:style w:type="paragraph" w:styleId="Header">
    <w:name w:val="header"/>
    <w:basedOn w:val="Normal"/>
    <w:link w:val="HeaderChar"/>
    <w:uiPriority w:val="99"/>
    <w:unhideWhenUsed/>
    <w:rsid w:val="001D0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35"/>
  </w:style>
  <w:style w:type="paragraph" w:styleId="Footer">
    <w:name w:val="footer"/>
    <w:basedOn w:val="Normal"/>
    <w:link w:val="FooterChar"/>
    <w:uiPriority w:val="99"/>
    <w:unhideWhenUsed/>
    <w:rsid w:val="001D0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35"/>
  </w:style>
  <w:style w:type="character" w:styleId="CommentReference">
    <w:name w:val="annotation reference"/>
    <w:basedOn w:val="DefaultParagraphFont"/>
    <w:uiPriority w:val="99"/>
    <w:semiHidden/>
    <w:unhideWhenUsed/>
    <w:rsid w:val="008D4894"/>
    <w:rPr>
      <w:sz w:val="16"/>
      <w:szCs w:val="16"/>
    </w:rPr>
  </w:style>
  <w:style w:type="paragraph" w:styleId="CommentText">
    <w:name w:val="annotation text"/>
    <w:basedOn w:val="Normal"/>
    <w:link w:val="CommentTextChar"/>
    <w:uiPriority w:val="99"/>
    <w:unhideWhenUsed/>
    <w:rsid w:val="008D4894"/>
    <w:pPr>
      <w:spacing w:line="240" w:lineRule="auto"/>
    </w:pPr>
    <w:rPr>
      <w:sz w:val="20"/>
      <w:szCs w:val="20"/>
    </w:rPr>
  </w:style>
  <w:style w:type="character" w:customStyle="1" w:styleId="CommentTextChar">
    <w:name w:val="Comment Text Char"/>
    <w:basedOn w:val="DefaultParagraphFont"/>
    <w:link w:val="CommentText"/>
    <w:uiPriority w:val="99"/>
    <w:rsid w:val="008D4894"/>
    <w:rPr>
      <w:sz w:val="20"/>
      <w:szCs w:val="20"/>
    </w:rPr>
  </w:style>
  <w:style w:type="paragraph" w:styleId="CommentSubject">
    <w:name w:val="annotation subject"/>
    <w:basedOn w:val="CommentText"/>
    <w:next w:val="CommentText"/>
    <w:link w:val="CommentSubjectChar"/>
    <w:uiPriority w:val="99"/>
    <w:semiHidden/>
    <w:unhideWhenUsed/>
    <w:rsid w:val="008D4894"/>
    <w:rPr>
      <w:b/>
      <w:bCs/>
    </w:rPr>
  </w:style>
  <w:style w:type="character" w:customStyle="1" w:styleId="CommentSubjectChar">
    <w:name w:val="Comment Subject Char"/>
    <w:basedOn w:val="CommentTextChar"/>
    <w:link w:val="CommentSubject"/>
    <w:uiPriority w:val="99"/>
    <w:semiHidden/>
    <w:rsid w:val="008D48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emin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eminox.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DD12691B1A94C9701020E04A2D4D1" ma:contentTypeVersion="18" ma:contentTypeDescription="Create a new document." ma:contentTypeScope="" ma:versionID="24248946c860685da390592b474229c7">
  <xsd:schema xmlns:xsd="http://www.w3.org/2001/XMLSchema" xmlns:xs="http://www.w3.org/2001/XMLSchema" xmlns:p="http://schemas.microsoft.com/office/2006/metadata/properties" xmlns:ns2="181003b6-a97e-48a1-a457-f349b3628848" xmlns:ns3="c509f926-3629-4cca-ae8e-de1b98f810b0" targetNamespace="http://schemas.microsoft.com/office/2006/metadata/properties" ma:root="true" ma:fieldsID="881984451520d33ace080f93e2e4a0bd" ns2:_="" ns3:_="">
    <xsd:import namespace="181003b6-a97e-48a1-a457-f349b3628848"/>
    <xsd:import namespace="c509f926-3629-4cca-ae8e-de1b98f81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003b6-a97e-48a1-a457-f349b3628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2bb845-6570-4389-8be8-a746c68d5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9f926-3629-4cca-ae8e-de1b98f810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eadd5b-be58-4646-bb89-b01b5933cd7e}" ma:internalName="TaxCatchAll" ma:showField="CatchAllData" ma:web="c509f926-3629-4cca-ae8e-de1b98f81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1003b6-a97e-48a1-a457-f349b3628848">
      <Terms xmlns="http://schemas.microsoft.com/office/infopath/2007/PartnerControls"/>
    </lcf76f155ced4ddcb4097134ff3c332f>
    <TaxCatchAll xmlns="c509f926-3629-4cca-ae8e-de1b98f810b0" xsi:nil="true"/>
  </documentManagement>
</p:properties>
</file>

<file path=customXml/itemProps1.xml><?xml version="1.0" encoding="utf-8"?>
<ds:datastoreItem xmlns:ds="http://schemas.openxmlformats.org/officeDocument/2006/customXml" ds:itemID="{ED64749A-E94B-431E-AB9C-E22EB01A8062}">
  <ds:schemaRefs>
    <ds:schemaRef ds:uri="http://schemas.openxmlformats.org/officeDocument/2006/bibliography"/>
  </ds:schemaRefs>
</ds:datastoreItem>
</file>

<file path=customXml/itemProps2.xml><?xml version="1.0" encoding="utf-8"?>
<ds:datastoreItem xmlns:ds="http://schemas.openxmlformats.org/officeDocument/2006/customXml" ds:itemID="{CCF76A1C-A1B1-4D4E-AE4B-8D3DEF245201}"/>
</file>

<file path=customXml/itemProps3.xml><?xml version="1.0" encoding="utf-8"?>
<ds:datastoreItem xmlns:ds="http://schemas.openxmlformats.org/officeDocument/2006/customXml" ds:itemID="{B17C0097-37FE-420A-8517-26B414DD4EC8}"/>
</file>

<file path=customXml/itemProps4.xml><?xml version="1.0" encoding="utf-8"?>
<ds:datastoreItem xmlns:ds="http://schemas.openxmlformats.org/officeDocument/2006/customXml" ds:itemID="{D1AC08F6-BE8A-4663-A307-FDB19F68BBE4}"/>
</file>

<file path=docProps/app.xml><?xml version="1.0" encoding="utf-8"?>
<Properties xmlns="http://schemas.openxmlformats.org/officeDocument/2006/extended-properties" xmlns:vt="http://schemas.openxmlformats.org/officeDocument/2006/docPropsVTypes">
  <Template>Normal</Template>
  <TotalTime>5</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Saib</dc:creator>
  <cp:keywords/>
  <dc:description/>
  <cp:lastModifiedBy>Lorna Allison</cp:lastModifiedBy>
  <cp:revision>2</cp:revision>
  <dcterms:created xsi:type="dcterms:W3CDTF">2025-08-15T12:23:00Z</dcterms:created>
  <dcterms:modified xsi:type="dcterms:W3CDTF">2025-08-15T12:23:00Z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0x0101003ADDD12691B1A94C9701020E04A2D4D1</vt:lpwstr>
  </property>
</Properties>
</file>